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FKicker"/>
      </w:pPr>
      <w:r>
        <w:rPr>
          <w:rFonts w:ascii="Calibri" w:hAnsi="Calibri"/>
          <w:b/>
          <w:color w:val="7A5A00"/>
          <w:sz w:val="19"/>
        </w:rPr>
        <w:t>RISORSA GRATUITA | FAC-SIMILE EDITORIALE</w:t>
      </w:r>
    </w:p>
    <w:p>
      <w:pPr>
        <w:pStyle w:val="Title"/>
      </w:pPr>
      <w:r>
        <w:t>Accordo di risoluzione consensuale della locazione</w:t>
      </w:r>
    </w:p>
    <w:p>
      <w:pPr>
        <w:pStyle w:val="Subtitle"/>
      </w:pPr>
      <w:r>
        <w:t>Fac-simile editoriale di accordo di risoluzione consensuale di un contratto di locazione, con gli adempimenti successivi alla firma.</w:t>
      </w:r>
    </w:p>
    <w:tbl>
      <w:tblPr>
        <w:tblW w:type="dxa" w:w="9026"/>
        <w:jc w:val="left"/>
        <w:tblLayout w:type="fixed"/>
        <w:tblLook w:firstColumn="1" w:firstRow="1" w:lastColumn="0" w:lastRow="0" w:noHBand="0" w:noVBand="1" w:val="04A0"/>
        <w:tblInd w:type="dxa" w:w="120"/>
      </w:tblPr>
      <w:tblGrid>
        <w:gridCol w:w="1157"/>
        <w:gridCol w:w="2681"/>
        <w:gridCol w:w="1543"/>
        <w:gridCol w:w="3645"/>
      </w:tblGrid>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Formato</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Compilabile e stampabile</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Versione</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1.0</w:t>
            </w:r>
          </w:p>
        </w:tc>
      </w:tr>
      <w:tr>
        <w:trPr>
          <w:cantSplit/>
        </w:trPr>
        <w:tc>
          <w:tcPr>
            <w:tcW w:type="dxa" w:w="1157"/>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Revisione editoriale</w:t>
            </w:r>
          </w:p>
        </w:tc>
        <w:tc>
          <w:tcPr>
            <w:tcW w:type="dxa" w:w="2681"/>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1 settembre 2026</w:t>
            </w:r>
          </w:p>
        </w:tc>
        <w:tc>
          <w:tcPr>
            <w:tcW w:type="dxa" w:w="1543"/>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Prossimo passo</w:t>
            </w:r>
          </w:p>
        </w:tc>
        <w:tc>
          <w:tcPr>
            <w:tcW w:type="dxa" w:w="3645"/>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20262E"/>
                <w:sz w:val="18"/>
              </w:rPr>
              <w:t>Servizi immobiliari online</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IMPORTANTE. </w:t>
            </w:r>
            <w:r>
              <w:rPr>
                <w:rFonts w:ascii="Calibri" w:hAnsi="Calibri"/>
                <w:color w:val="20262E"/>
                <w:sz w:val="21"/>
              </w:rPr>
              <w:t>Serve l'accordo di entrambe le parti. Se è il conduttore a uscire da solo non si usa questo modulo ma la comunicazione di recesso, con il preavviso previsto dal contratto o dalla legge. La risoluzione va comunicata all'Agenzia delle Entrate con il modello RLI entro 30 giorni dalla data in cui ha effetto — che può essere successiva alla firma — anche quando nessuna imposta è dovuta.</w:t>
            </w:r>
          </w:p>
        </w:tc>
      </w:tr>
    </w:tbl>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AVVISO LEGALE. </w:t>
            </w:r>
            <w:r>
              <w:rPr>
                <w:rFonts w:ascii="Calibri" w:hAnsi="Calibri"/>
                <w:color w:val="20262E"/>
                <w:sz w:val="21"/>
              </w:rPr>
              <w:t>Questo fac-simile è una base editoriale predisposta dalla redazione ConcordatoFacile: non è un modello ministeriale, non costituisce consulenza legale e non certifica nulla. Prima della firma fallo verificare da un legale di fiducia, o affidaci la redazione del contratto.</w:t>
            </w:r>
          </w:p>
        </w:tc>
      </w:tr>
    </w:tbl>
    <w:p>
      <w:pPr>
        <w:pStyle w:val="Heading2"/>
      </w:pPr>
      <w:r>
        <w:t>Come usare la scheda</w:t>
      </w:r>
    </w:p>
    <w:p>
      <w:pPr>
        <w:numPr>
          <w:ilvl w:val="0"/>
          <w:numId w:val="10"/>
        </w:numPr>
        <w:spacing w:after="80" w:line="300" w:lineRule="auto"/>
      </w:pPr>
      <w:r>
        <w:rPr>
          <w:rFonts w:ascii="Calibri" w:hAnsi="Calibri"/>
          <w:color w:val="20262E"/>
          <w:sz w:val="22"/>
        </w:rPr>
        <w:t>Recupera gli estremi di registrazione del contratto da sciogliere: serie, numero, anno e ufficio.</w:t>
      </w:r>
    </w:p>
    <w:p>
      <w:pPr>
        <w:numPr>
          <w:ilvl w:val="0"/>
          <w:numId w:val="10"/>
        </w:numPr>
        <w:spacing w:after="80" w:line="300" w:lineRule="auto"/>
      </w:pPr>
      <w:r>
        <w:rPr>
          <w:rFonts w:ascii="Calibri" w:hAnsi="Calibri"/>
          <w:color w:val="20262E"/>
          <w:sz w:val="22"/>
        </w:rPr>
        <w:t>Concorda la data di cessazione e quella di riconsegna: possono coincidere, ma vanno scritte entrambe.</w:t>
      </w:r>
    </w:p>
    <w:p>
      <w:pPr>
        <w:numPr>
          <w:ilvl w:val="0"/>
          <w:numId w:val="10"/>
        </w:numPr>
        <w:spacing w:after="80" w:line="300" w:lineRule="auto"/>
      </w:pPr>
      <w:r>
        <w:rPr>
          <w:rFonts w:ascii="Calibri" w:hAnsi="Calibri"/>
          <w:color w:val="20262E"/>
          <w:sz w:val="22"/>
        </w:rPr>
        <w:t>Chiudi le partite aperte prima di firmare: canoni, oneri accessori, conguagli, utenze e deposito cauzionale.</w:t>
      </w:r>
    </w:p>
    <w:p>
      <w:pPr>
        <w:numPr>
          <w:ilvl w:val="0"/>
          <w:numId w:val="10"/>
        </w:numPr>
        <w:spacing w:after="80" w:line="300" w:lineRule="auto"/>
      </w:pPr>
      <w:r>
        <w:rPr>
          <w:rFonts w:ascii="Calibri" w:hAnsi="Calibri"/>
          <w:color w:val="20262E"/>
          <w:sz w:val="22"/>
        </w:rPr>
        <w:t>Fai sottoscrivere tutte le parti del contratto originario, compresi comproprietari, coinquilini ed eventuali garanti.</w:t>
      </w:r>
    </w:p>
    <w:p>
      <w:pPr>
        <w:numPr>
          <w:ilvl w:val="0"/>
          <w:numId w:val="10"/>
        </w:numPr>
        <w:spacing w:after="80" w:line="300" w:lineRule="auto"/>
      </w:pPr>
      <w:r>
        <w:rPr>
          <w:rFonts w:ascii="Calibri" w:hAnsi="Calibri"/>
          <w:color w:val="20262E"/>
          <w:sz w:val="22"/>
        </w:rPr>
        <w:t>Comunica la risoluzione entro 30 giorni con il modello RLI e versa l'imposta, se dovuta.</w:t>
      </w:r>
    </w:p>
    <w:p>
      <w:pPr>
        <w:spacing w:before="0" w:after="0"/>
      </w:pPr>
      <w:r>
        <w:br w:type="page"/>
      </w:r>
    </w:p>
    <w:p>
      <w:pPr>
        <w:pStyle w:val="Heading1"/>
      </w:pPr>
      <w:r>
        <w:t>1. Contratto da risolvere</w:t>
      </w:r>
    </w:p>
    <w:tbl>
      <w:tblPr>
        <w:tblW w:type="dxa" w:w="9026"/>
        <w:jc w:val="left"/>
        <w:tblLayout w:type="fixed"/>
        <w:tblLook w:firstColumn="1" w:firstRow="1" w:lastColumn="0" w:lastRow="0" w:noHBand="0" w:noVBand="1" w:val="04A0"/>
        <w:tblInd w:type="dxa" w:w="120"/>
      </w:tblPr>
      <w:tblGrid>
        <w:gridCol w:w="2748"/>
        <w:gridCol w:w="6278"/>
      </w:tblGrid>
      <w:tr>
        <w:trPr>
          <w:cantSplit/>
          <w:tblHeader w:val="true"/>
        </w:trPr>
        <w:tc>
          <w:tcPr>
            <w:tcW w:type="dxa" w:w="274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Dato da raccogliere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Compilazione / riferimento</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Locatore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 denominazione: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 sede: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Conduttore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 denominazione: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Codice fiscale: __________________  Residenza: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Se locatori o conduttori sono più di uno devono comparire e sottoscrivere tutti: duplicare le righe e le celle di firma.</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Garante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Nome: ____________________  Codice fiscale: __________________  □ non presente</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Immobile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Comune: __________  Indirizzo: ____________________________________________________________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Dati catastali</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Foglio: ______  Particella: ______  Sub: ______  Categoria: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Contratto</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Tipo: □ canone libero  □ canone concordato  □ transitorio  □ studenti  □ altro: 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Registrazione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Ufficio: ______  Anno: ______  Serie: ______  Numero: ______  Sottonumero (se presente):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In alternativa, codice identificativo del contratto: ____________________________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Corrispettivo</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Corrispettivo pattuito per la risoluzione: euro ______________  □ nessuno</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Decorrenza</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Dal ____ / ____ / ______  Scadenza originaria: ____ / ____ / 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Canone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Euro ______________ annui  Deposito cauzionale versato: euro ______________</w:t>
            </w:r>
          </w:p>
        </w:tc>
      </w:tr>
      <w:tr>
        <w:trPr>
          <w:cantSplit/>
        </w:trPr>
        <w:tc>
          <w:tcPr>
            <w:tcW w:type="dxa" w:w="2748"/>
            <w:vAlign w:val="center"/>
            <w:shd w:fill="F6F3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A1570"/>
                <w:sz w:val="18"/>
              </w:rPr>
              <w:t>Regime fiscale</w:t>
            </w:r>
          </w:p>
        </w:tc>
        <w:tc>
          <w:tcPr>
            <w:tcW w:type="dxa" w:w="627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Cedolare secca: □ sì, per tutti i locatori  □ no  □ solo per alcuni locatori</w:t>
            </w:r>
          </w:p>
        </w:tc>
      </w:tr>
    </w:tbl>
    <w:p>
      <w:pPr>
        <w:pStyle w:val="Heading1"/>
      </w:pPr>
      <w:r>
        <w:t>2. Testo dell'accordo</w:t>
      </w:r>
    </w:p>
    <w:p>
      <w:pPr>
        <w:pStyle w:val="Heading2"/>
        <w:keepNext/>
      </w:pPr>
      <w:r>
        <w:t>Articolo 1 — Risoluzione consensuale</w:t>
      </w:r>
    </w:p>
    <w:p>
      <w:pPr>
        <w:jc w:val="left"/>
      </w:pPr>
      <w:r>
        <w:t>Le parti, di comune accordo e ai sensi dell'articolo 1372 del codice civile, risolvono anticipatamente il contratto di locazione individuato nella scheda «1. Contratto da risolvere», che forma parte integrante della presente scrittura, con effetto dal ____ / ____ / ______.</w:t>
      </w:r>
    </w:p>
    <w:p>
      <w:pPr>
        <w:jc w:val="both"/>
      </w:pPr>
      <w:r>
        <w:t>Dalla data indicata cessa ogni obbligazione di pagamento del canone e degli oneri accessori a carico del conduttore, salvo quanto previsto negli articoli che seguono per le somme maturate fino a quella data.</w:t>
      </w:r>
    </w:p>
    <w:p>
      <w:pPr>
        <w:pStyle w:val="Heading2"/>
        <w:keepNext/>
      </w:pPr>
      <w:r>
        <w:t>Articolo 2 — Riconsegna dell'immobile</w:t>
      </w:r>
    </w:p>
    <w:p>
      <w:pPr>
        <w:jc w:val="left"/>
      </w:pPr>
      <w:r>
        <w:t>Il conduttore riconsegna l'immobile libero da persone e cose in data ____ / ____ / ______, unitamente a tutte le chiavi e ai dispositivi di accesso ricevuti, nello stato in cui lo ha ricevuto salvo il normale deperimento d'uso.</w:t>
      </w:r>
    </w:p>
    <w:p>
      <w:pPr>
        <w:jc w:val="both"/>
      </w:pPr>
      <w:r>
        <w:t>Le parti danno atto che dello stato dei locali, delle letture dei contatori e delle chiavi restituite si dà conto in apposito verbale di riconsegna, che sottoscrivono contestualmente. In mancanza di verbale il locatore si riserva espressamente di far valere i danni eccedenti il normale deterioramento d'uso, ai sensi dell'articolo 1590 del codice civile.</w:t>
      </w:r>
    </w:p>
    <w:p>
      <w:pPr>
        <w:jc w:val="left"/>
      </w:pPr>
      <w:r>
        <w:t>Se la riconsegna avviene dopo la data di cessazione, per il periodo intercorrente il conduttore continua a rispondere della custodia e dei consumi e corrisponde al locatore un'indennità di occupazione pari a euro ______________ per ogni mese o frazione, salvo il maggior danno ai sensi dell'articolo 1591 del codice civile.</w:t>
      </w:r>
    </w:p>
    <w:p>
      <w:pPr>
        <w:pStyle w:val="Heading2"/>
        <w:keepNext/>
      </w:pPr>
      <w:r>
        <w:t>Articolo 3 — Canoni, oneri accessori e utenze</w:t>
      </w:r>
    </w:p>
    <w:p>
      <w:pPr>
        <w:jc w:val="left"/>
      </w:pPr>
      <w:r>
        <w:t>Il conduttore dichiara di avere corrisposto i canoni fino al ____ / ____ / ______ e si obbliga a versare, entro la data di riconsegna, l'importo residuo di euro ______________ a titolo di canoni e oneri accessori maturati.</w:t>
      </w:r>
    </w:p>
    <w:p>
      <w:pPr>
        <w:jc w:val="both"/>
      </w:pPr>
      <w:r>
        <w:t>Il conduttore provvede a proprie spese alla voltura o alla cessazione dei contratti di fornitura a lui intestati, presenta al Comune la dichiarazione di cessazione ai fini della TARI e consegna al locatore le letture finali dei contatori. Restano a suo carico i consumi maturati fino alla riconsegna.</w:t>
      </w:r>
    </w:p>
    <w:p>
      <w:pPr>
        <w:jc w:val="left"/>
      </w:pPr>
      <w:r>
        <w:t>Il conguaglio delle spese condominiali non ancora rendicontate sarà definito entro ______ giorni dall'approvazione del rendiconto, con obbligo di pagamento o di rimborso a carico della parte tenuta.</w:t>
      </w:r>
    </w:p>
    <w:p>
      <w:pPr>
        <w:pStyle w:val="Heading2"/>
        <w:keepNext/>
      </w:pPr>
      <w:r>
        <w:t>Articolo 4 — Deposito cauzionale</w:t>
      </w:r>
    </w:p>
    <w:p>
      <w:pPr>
        <w:jc w:val="left"/>
      </w:pPr>
      <w:r>
        <w:t>□ Il locatore restituisce contestualmente al conduttore l'intero deposito cauzionale, pari a euro ______________, oltre agli interessi legali maturati.</w:t>
      </w:r>
    </w:p>
    <w:p>
      <w:pPr>
        <w:jc w:val="left"/>
      </w:pPr>
      <w:r>
        <w:t>□ Le parti convengono che dal deposito cauzionale sia trattenuto l'importo di euro ______________ a copertura di ______________________________, e che il residuo di euro ______________ sia restituito entro il ____ / ____ / ______. Barrare una sola opzione ed eliminare l'altra.</w:t>
      </w:r>
    </w:p>
    <w:p>
      <w:pPr>
        <w:pStyle w:val="Heading2"/>
        <w:keepNext/>
      </w:pPr>
      <w:r>
        <w:t>Articolo 5 — Rinuncia a ulteriori pretese</w:t>
      </w:r>
    </w:p>
    <w:p>
      <w:pPr>
        <w:jc w:val="both"/>
      </w:pPr>
      <w:r>
        <w:t>Con l'integrale esecuzione di quanto sopra le parti dichiarano di non avere null'altro a pretendere l'una dall'altra in dipendenza del contratto risolto e rinunciano reciprocamente a ogni ulteriore azione, eccezione o pretesa relativa al rapporto cessato.</w:t>
      </w:r>
    </w:p>
    <w:p>
      <w:pPr>
        <w:jc w:val="both"/>
      </w:pPr>
      <w:r>
        <w:t>La presente rinuncia non si estende ai danni non conoscibili al momento della riconsegna e non riscontrabili con l'ordinaria diligenza, e resta comunque salvo quanto previsto da norme inderogabili in materia di locazioni, fra cui il diritto del conduttore, entro sei mesi dalla riconsegna, di chiedere la restituzione delle somme indebitamente versate ai sensi dell'articolo 13 della legge 431/1998.</w:t>
      </w:r>
    </w:p>
    <w:p>
      <w:pPr>
        <w:pStyle w:val="Heading2"/>
        <w:keepNext/>
      </w:pPr>
      <w:r>
        <w:t>Articolo 6 — Comunicazione della risoluzione e imposte</w:t>
      </w:r>
    </w:p>
    <w:p>
      <w:pPr>
        <w:jc w:val="both"/>
      </w:pPr>
      <w:r>
        <w:t>Le parti danno atto che la risoluzione deve essere comunicata all'Agenzia delle Entrate entro trenta giorni dalla data di efficacia, con il modello RLI, presso l'ufficio in cui il contratto è stato registrato.</w:t>
      </w:r>
    </w:p>
    <w:p>
      <w:pPr>
        <w:jc w:val="both"/>
      </w:pPr>
      <w:r>
        <w:t>L'imposta di registro dovuta per la risoluzione è in misura fissa, pari a 67 euro. Non è dovuta se tutti i locatori hanno optato per la cedolare secca, che sostituisce imposta di registro e imposta di bollo anche in caso di risoluzione. La comunicazione resta comunque dovuta entro 30 giorni: senza di essa il contratto risulta ancora in essere presso l'Agenzia.</w:t>
      </w:r>
    </w:p>
    <w:p>
      <w:pPr>
        <w:jc w:val="both"/>
      </w:pPr>
      <w:r>
        <w:t>Se le parti pattuiscono un corrispettivo per la risoluzione, sul relativo ammontare si applica l'imposta proporzionale ai sensi dell'articolo 28 del DPR 131/1986, e il modello RLI prevede un apposito campo. Se tutti i locatori sono in cedolare secca l'imposta fissa non è dovuta, ma quella proporzionale sul corrispettivo resta.</w:t>
      </w:r>
    </w:p>
    <w:p>
      <w:pPr>
        <w:jc w:val="both"/>
      </w:pPr>
      <w:r>
        <w:t>L'adempimento è assunto da: □ il locatore  □ il conduttore  □ entrambi, e le spese sono ripartite come indicato all'articolo seguente. Resta ferma la solidarietà delle parti verso l'Amministrazione finanziaria ai sensi dell'articolo 57 del DPR 131/1986.</w:t>
      </w:r>
    </w:p>
    <w:p>
      <w:pPr>
        <w:jc w:val="both"/>
      </w:pPr>
      <w:r>
        <w:t>Se la risoluzione è comunicata oltre un anno dalla data di efficacia l'adempimento non può essere eseguito per via telematica: occorre rivolgersi all'ufficio presso cui il contratto è registrato.</w:t>
      </w:r>
    </w:p>
    <w:p>
      <w:pPr>
        <w:pStyle w:val="Heading2"/>
        <w:keepNext/>
      </w:pPr>
      <w:r>
        <w:t>Articolo 7 — Spese del presente accordo</w:t>
      </w:r>
    </w:p>
    <w:p>
      <w:pPr>
        <w:jc w:val="both"/>
      </w:pPr>
      <w:r>
        <w:t>Le spese della presente scrittura e dei relativi adempimenti fiscali sono a carico di: □ il locatore  □ il conduttore  □ entrambi in parti uguali.</w:t>
      </w:r>
    </w:p>
    <w:p>
      <w:pPr>
        <w:pStyle w:val="Heading2"/>
        <w:keepNext/>
      </w:pPr>
      <w:r>
        <w:t>Articolo 8 — Sottoscrizione, dati personali e rinvio</w:t>
      </w:r>
    </w:p>
    <w:p>
      <w:pPr>
        <w:jc w:val="left"/>
      </w:pPr>
      <w:r>
        <w:t>La presente scrittura è sottoscritta a ____________________ il ____ / ____ / ______ in ______ originali. L'eventuale garante indicato in premessa sottoscrive per liberazione da ogni obbligazione futura derivante dal contratto risolto.</w:t>
      </w:r>
    </w:p>
    <w:p>
      <w:pPr>
        <w:jc w:val="both"/>
      </w:pPr>
      <w:r>
        <w:t>Le parti danno atto che i dati personali contenuti nella presente scrittura sono trattati per la sua esecuzione e per gli adempimenti di legge, ai sensi dell'articolo 6, paragrafo 1, lettere b) e c), del Regolamento (UE) 2016/679.</w:t>
      </w:r>
    </w:p>
    <w:p>
      <w:pPr>
        <w:jc w:val="both"/>
      </w:pPr>
      <w:r>
        <w:t>Per quanto non espressamente previsto le parti rinviano alle norme del codice civile e alla disciplina delle locazioni applicabile al contratto risolto.</w:t>
      </w:r>
    </w:p>
    <w:p>
      <w:pPr>
        <w:pStyle w:val="Heading1"/>
      </w:pPr>
      <w:r>
        <w:t>3. Clausole aggiuntive concordate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FFF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br/>
            </w:r>
            <w:r>
              <w:rPr>
                <w:rFonts w:ascii="Calibri" w:hAnsi="Calibri"/>
                <w:color w:val="A5AFBA"/>
                <w:sz w:val="17"/>
              </w:rPr>
              <w:t>________________________________________________________________________________</w:t>
            </w:r>
          </w:p>
        </w:tc>
      </w:tr>
    </w:tbl>
    <w:p>
      <w:pPr>
        <w:pStyle w:val="Heading1"/>
      </w:pPr>
      <w:r>
        <w:t>4. Sottoscrizione</w:t>
      </w:r>
    </w:p>
    <w:tbl>
      <w:tblPr>
        <w:tblW w:type="dxa" w:w="9026"/>
        <w:jc w:val="left"/>
        <w:tblLayout w:type="fixed"/>
        <w:tblLook w:firstColumn="1" w:firstRow="1" w:lastColumn="0" w:lastRow="0" w:noHBand="0" w:noVBand="1" w:val="04A0"/>
        <w:tblInd w:type="dxa" w:w="120"/>
      </w:tblPr>
      <w:tblGrid>
        <w:gridCol w:w="3009"/>
        <w:gridCol w:w="3009"/>
        <w:gridCol w:w="3008"/>
      </w:tblGrid>
      <w:tr>
        <w:trPr>
          <w:cantSplit/>
        </w:trPr>
        <w:tc>
          <w:tcPr>
            <w:tcW w:type="dxa" w:w="300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c>
          <w:tcPr>
            <w:tcW w:type="dxa" w:w="300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c>
          <w:tcPr>
            <w:tcW w:type="dxa" w:w="300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Data: ____ / ____ / ______</w:t>
            </w:r>
          </w:p>
        </w:tc>
      </w:tr>
      <w:tr>
        <w:trPr>
          <w:cantSplit/>
        </w:trPr>
        <w:tc>
          <w:tcPr>
            <w:tcW w:type="dxa" w:w="300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locatore</w:t>
              <w:br/>
              <w:t>____________________________</w:t>
            </w:r>
          </w:p>
        </w:tc>
        <w:tc>
          <w:tcPr>
            <w:tcW w:type="dxa" w:w="300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conduttore</w:t>
              <w:br/>
              <w:t>____________________________</w:t>
            </w:r>
          </w:p>
        </w:tc>
        <w:tc>
          <w:tcPr>
            <w:tcW w:type="dxa" w:w="3008"/>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br/>
              <w:t>Firma - Il garante (se presente)</w:t>
              <w:br/>
              <w:t>____________________________</w:t>
            </w:r>
          </w:p>
        </w:tc>
      </w:tr>
    </w:tbl>
    <w:p>
      <w:pPr>
        <w:spacing w:before="0" w:after="0"/>
      </w:pPr>
      <w:r>
        <w:br w:type="page"/>
      </w:r>
    </w:p>
    <w:p>
      <w:pPr>
        <w:pStyle w:val="Heading1"/>
      </w:pPr>
      <w:r>
        <w:t>Appendice - Verifiche prima di firmare (elenco di lavoro, non fa parte dell'accordo)</w:t>
      </w:r>
    </w:p>
    <w:tbl>
      <w:tblPr>
        <w:tblW w:type="dxa" w:w="9026"/>
        <w:jc w:val="left"/>
        <w:tblLayout w:type="fixed"/>
        <w:tblLook w:firstColumn="1" w:firstRow="1" w:lastColumn="0" w:lastRow="0" w:noHBand="0" w:noVBand="1" w:val="04A0"/>
        <w:tblInd w:type="dxa" w:w="120"/>
      </w:tblPr>
      <w:tblGrid>
        <w:gridCol w:w="820"/>
        <w:gridCol w:w="2989"/>
        <w:gridCol w:w="5217"/>
      </w:tblGrid>
      <w:tr>
        <w:trPr>
          <w:cantSplit/>
          <w:tblHeader w:val="true"/>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jc w:val="center"/>
            </w:pPr>
            <w:r>
              <w:rPr>
                <w:rFonts w:ascii="Calibri" w:hAnsi="Calibri"/>
                <w:b/>
                <w:color w:val="241449"/>
                <w:sz w:val="18"/>
              </w:rPr>
              <w:t>Stato</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Voce</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shd w:fill="EEE9FF" w:val="clear"/>
          </w:tcPr>
          <w:p>
            <w:pPr>
              <w:pStyle w:val="CFTableHeader"/>
              <w:spacing w:before="0"/>
            </w:pPr>
            <w:r>
              <w:rPr>
                <w:rFonts w:ascii="Calibri" w:hAnsi="Calibri"/>
                <w:b/>
                <w:color w:val="241449"/>
                <w:sz w:val="18"/>
              </w:rPr>
              <w:t>Controllo / note</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Estremi di registrazione del contratto originario reperiti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Tutti i locatori e tutti i conduttori firmatari sono presenti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Eventuali garanti o fideiussori informati e liberati per iscritto</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Verbale di riconsegna e letture dei contatori predisposti</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Conteggio di canoni, oneri accessori e conguagli condiviso</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r>
        <w:trPr>
          <w:cantSplit/>
        </w:trPr>
        <w:tc>
          <w:tcPr>
            <w:tcW w:type="dxa" w:w="820"/>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jc w:val="center"/>
            </w:pPr>
            <w:r>
              <w:rPr>
                <w:rFonts w:ascii="Calibri" w:hAnsi="Calibri"/>
                <w:b w:val="0"/>
                <w:color w:val="2A1570"/>
                <w:sz w:val="18"/>
              </w:rPr>
              <w:t>□</w:t>
            </w:r>
          </w:p>
        </w:tc>
        <w:tc>
          <w:tcPr>
            <w:tcW w:type="dxa" w:w="2989"/>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color w:val="20262E"/>
                <w:sz w:val="18"/>
              </w:rPr>
              <w:t>Destinazione del deposito cauzionale definita per iscritto</w:t>
            </w:r>
          </w:p>
        </w:tc>
        <w:tc>
          <w:tcPr>
            <w:tcW w:type="dxa" w:w="5217"/>
            <w:vAlign w:val="cente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pStyle w:val="CFTableText"/>
              <w:spacing w:before="0"/>
            </w:pPr>
            <w:r>
              <w:rPr>
                <w:rFonts w:ascii="Calibri" w:hAnsi="Calibri"/>
                <w:b w:val="0"/>
                <w:color w:val="5F6B7A"/>
                <w:sz w:val="18"/>
              </w:rPr>
              <w:t>□ disponibile   □ da recuperare   □ da verificare   □ non applicabile</w:t>
              <w:br/>
              <w:t>____________________________</w:t>
            </w:r>
          </w:p>
        </w:tc>
      </w:tr>
    </w:tbl>
    <w:p>
      <w:pPr>
        <w:pStyle w:val="Heading1"/>
      </w:pPr>
      <w:r>
        <w:t>Controllo finale</w:t>
      </w:r>
    </w:p>
    <w:p>
      <w:pPr>
        <w:numPr>
          <w:ilvl w:val="0"/>
          <w:numId w:val="11"/>
        </w:numPr>
        <w:spacing w:after="80" w:line="300" w:lineRule="auto"/>
      </w:pPr>
      <w:r>
        <w:rPr>
          <w:rFonts w:ascii="Calibri" w:hAnsi="Calibri"/>
          <w:color w:val="20262E"/>
          <w:sz w:val="22"/>
        </w:rPr>
        <w:t>La data di cessazione e quella di riconsegna sono entrambe indicate e coerenti tra loro.</w:t>
      </w:r>
    </w:p>
    <w:p>
      <w:pPr>
        <w:numPr>
          <w:ilvl w:val="0"/>
          <w:numId w:val="11"/>
        </w:numPr>
        <w:spacing w:after="80" w:line="300" w:lineRule="auto"/>
      </w:pPr>
      <w:r>
        <w:rPr>
          <w:rFonts w:ascii="Calibri" w:hAnsi="Calibri"/>
          <w:color w:val="20262E"/>
          <w:sz w:val="22"/>
        </w:rPr>
        <w:t>Una sola opzione è barrata per deposito cauzionale, adempimento fiscale e spese; le alternative sono state eliminate.</w:t>
      </w:r>
    </w:p>
    <w:p>
      <w:pPr>
        <w:numPr>
          <w:ilvl w:val="0"/>
          <w:numId w:val="11"/>
        </w:numPr>
        <w:spacing w:after="80" w:line="300" w:lineRule="auto"/>
      </w:pPr>
      <w:r>
        <w:rPr>
          <w:rFonts w:ascii="Calibri" w:hAnsi="Calibri"/>
          <w:color w:val="20262E"/>
          <w:sz w:val="22"/>
        </w:rPr>
        <w:t>Gli importi residui sono scritti per intero e coincidono con i conteggi allegati.</w:t>
      </w:r>
    </w:p>
    <w:p>
      <w:pPr>
        <w:numPr>
          <w:ilvl w:val="0"/>
          <w:numId w:val="11"/>
        </w:numPr>
        <w:spacing w:after="80" w:line="300" w:lineRule="auto"/>
      </w:pPr>
      <w:r>
        <w:rPr>
          <w:rFonts w:ascii="Calibri" w:hAnsi="Calibri"/>
          <w:color w:val="20262E"/>
          <w:sz w:val="22"/>
        </w:rPr>
        <w:t>Ogni firmatario del contratto originario ha sottoscritto anche questo accordo.</w:t>
      </w:r>
    </w:p>
    <w:p>
      <w:pPr>
        <w:numPr>
          <w:ilvl w:val="0"/>
          <w:numId w:val="11"/>
        </w:numPr>
        <w:spacing w:after="80" w:line="300" w:lineRule="auto"/>
      </w:pPr>
      <w:r>
        <w:rPr>
          <w:rFonts w:ascii="Calibri" w:hAnsi="Calibri"/>
          <w:color w:val="20262E"/>
          <w:sz w:val="22"/>
        </w:rPr>
        <w:t>La comunicazione con modello RLI è programmata entro 30 giorni dalla data di efficacia.</w:t>
      </w:r>
    </w:p>
    <w:p>
      <w:pPr>
        <w:pStyle w:val="Heading1"/>
      </w:pPr>
      <w:r>
        <w:t>Fonti, limiti e prossimo passo</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F8F6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7A5A00"/>
                <w:sz w:val="21"/>
              </w:rPr>
              <w:t xml:space="preserve">LIMITI D'USO. </w:t>
            </w:r>
            <w:r>
              <w:rPr>
                <w:rFonts w:ascii="Calibri" w:hAnsi="Calibri"/>
                <w:color w:val="20262E"/>
                <w:sz w:val="21"/>
              </w:rPr>
              <w:t>Fac-simile editoriale da completare, adattare al caso concreto e sottoscrivere. Non è un modello ministeriale, non è consulenza legale e non certifica alcunché. Prima di far firmare il testo elimina la pagina di istruzioni iniziale, le sezioni il cui titolo dice «elenco di lavoro», il Controllo finale e questa pagina. Conserva tutto il resto, allegati compresi: la scheda 1 e le sezioni numerate fanno parte del contratto.</w:t>
            </w:r>
          </w:p>
        </w:tc>
      </w:tr>
    </w:tbl>
    <w:p>
      <w:pPr>
        <w:pStyle w:val="Heading2"/>
      </w:pPr>
      <w:r>
        <w:t>Fonti</w:t>
      </w:r>
    </w:p>
    <w:p>
      <w:pPr>
        <w:pStyle w:val="CFSource"/>
      </w:pPr>
      <w:hyperlink r:id="rId13">
        <w:r>
          <w:rPr>
            <w:rStyle w:val="Hyperlink"/>
            <w:color w:val="542CF2"/>
            <w:u w:val="single"/>
            <w:rFonts w:ascii="Calibri" w:hAnsi="Calibri"/>
            <w:sz w:val="17"/>
            <w:szCs w:val="17"/>
          </w:rPr>
          <w:t>Codice civile, articolo 1372 - scioglimento per mutuo consenso</w:t>
        </w:r>
      </w:hyperlink>
    </w:p>
    <w:p>
      <w:pPr>
        <w:pStyle w:val="CFSource"/>
      </w:pPr>
      <w:hyperlink r:id="rId14">
        <w:r>
          <w:rPr>
            <w:rStyle w:val="Hyperlink"/>
            <w:color w:val="542CF2"/>
            <w:u w:val="single"/>
            <w:rFonts w:ascii="Calibri" w:hAnsi="Calibri"/>
            <w:sz w:val="17"/>
            <w:szCs w:val="17"/>
          </w:rPr>
          <w:t>DPR 131/1986, articolo 17 - termine di 30 giorni</w:t>
        </w:r>
      </w:hyperlink>
    </w:p>
    <w:p>
      <w:pPr>
        <w:pStyle w:val="CFSource"/>
      </w:pPr>
      <w:hyperlink r:id="rId15">
        <w:r>
          <w:rPr>
            <w:rStyle w:val="Hyperlink"/>
            <w:color w:val="542CF2"/>
            <w:u w:val="single"/>
            <w:rFonts w:ascii="Calibri" w:hAnsi="Calibri"/>
            <w:sz w:val="17"/>
            <w:szCs w:val="17"/>
          </w:rPr>
          <w:t>DPR 131/1986, articolo 28 - risoluzione del contratto</w:t>
        </w:r>
      </w:hyperlink>
    </w:p>
    <w:p>
      <w:pPr>
        <w:pStyle w:val="CFSource"/>
      </w:pPr>
      <w:hyperlink r:id="rId16">
        <w:r>
          <w:rPr>
            <w:rStyle w:val="Hyperlink"/>
            <w:color w:val="542CF2"/>
            <w:u w:val="single"/>
            <w:rFonts w:ascii="Calibri" w:hAnsi="Calibri"/>
            <w:sz w:val="17"/>
            <w:szCs w:val="17"/>
          </w:rPr>
          <w:t>D.Lgs. 23/2011, articolo 3 - cedolare secca</w:t>
        </w:r>
      </w:hyperlink>
    </w:p>
    <w:p>
      <w:pPr>
        <w:pStyle w:val="CFSource"/>
      </w:pPr>
      <w:hyperlink r:id="rId17">
        <w:r>
          <w:rPr>
            <w:rStyle w:val="Hyperlink"/>
            <w:color w:val="542CF2"/>
            <w:u w:val="single"/>
            <w:rFonts w:ascii="Calibri" w:hAnsi="Calibri"/>
            <w:sz w:val="17"/>
            <w:szCs w:val="17"/>
          </w:rPr>
          <w:t>Agenzia delle Entrate - Risoluzione del contratto di locazione</w:t>
        </w:r>
      </w:hyperlink>
    </w:p>
    <w:p>
      <w:pPr>
        <w:pStyle w:val="CFSource"/>
      </w:pPr>
      <w:hyperlink r:id="rId18">
        <w:r>
          <w:rPr>
            <w:rStyle w:val="Hyperlink"/>
            <w:color w:val="542CF2"/>
            <w:u w:val="single"/>
            <w:rFonts w:ascii="Calibri" w:hAnsi="Calibri"/>
            <w:sz w:val="17"/>
            <w:szCs w:val="17"/>
          </w:rPr>
          <w:t>Agenzia delle Entrate - RLI Web e istruzioni vigenti</w:t>
        </w:r>
      </w:hyperlink>
    </w:p>
    <w:p>
      <w:pPr>
        <w:pStyle w:val="Heading2"/>
      </w:pPr>
      <w:r>
        <w:t>Continua solo se ti serve</w:t>
      </w:r>
    </w:p>
    <w:tbl>
      <w:tblPr>
        <w:tblW w:type="dxa" w:w="9026"/>
        <w:jc w:val="left"/>
        <w:tblLayout w:type="fixed"/>
        <w:tblLook w:firstColumn="1" w:firstRow="1" w:lastColumn="0" w:lastRow="0" w:noHBand="0" w:noVBand="1" w:val="04A0"/>
        <w:tblInd w:type="dxa" w:w="120"/>
      </w:tblPr>
      <w:tblGrid>
        <w:gridCol w:w="9026"/>
      </w:tblGrid>
      <w:tr>
        <w:trPr>
          <w:cantSplit/>
        </w:trPr>
        <w:tc>
          <w:tcPr>
            <w:tcW w:type="dxa" w:w="9026"/>
            <w:shd w:fill="EEE9FF" w:val="clear"/>
            <w:tcMar>
              <w:top w:w="80" w:type="dxa"/>
              <w:bottom w:w="80" w:type="dxa"/>
              <w:start w:w="120" w:type="dxa"/>
              <w:end w:w="120" w:type="dxa"/>
            </w:tcMar>
            <w:tcBorders>
              <w:top w:val="single" w:sz="4" w:space="0" w:color="CBC2F5"/>
              <w:left w:val="single" w:sz="4" w:space="0" w:color="CBC2F5"/>
              <w:bottom w:val="single" w:sz="4" w:space="0" w:color="CBC2F5"/>
              <w:right w:val="single" w:sz="4" w:space="0" w:color="CBC2F5"/>
              <w:insideH w:val="single" w:sz="4" w:space="0" w:color="CBC2F5"/>
              <w:insideV w:val="single" w:sz="4" w:space="0" w:color="CBC2F5"/>
            </w:tcBorders>
          </w:tcPr>
          <w:p>
            <w:pPr>
              <w:spacing w:before="0"/>
            </w:pPr>
            <w:r>
              <w:rPr>
                <w:rFonts w:ascii="Calibri" w:hAnsi="Calibri"/>
                <w:b/>
                <w:color w:val="241449"/>
                <w:sz w:val="22"/>
              </w:rPr>
              <w:t xml:space="preserve">Scopri i servizi immobiliari online: </w:t>
            </w:r>
            <w:hyperlink r:id="rId19">
              <w:r>
                <w:rPr>
                  <w:rStyle w:val="Hyperlink"/>
                  <w:color w:val="542CF2"/>
                  <w:u w:val="single"/>
                  <w:rFonts w:ascii="Calibri" w:hAnsi="Calibri"/>
                  <w:sz w:val="20"/>
                  <w:szCs w:val="20"/>
                  <w:b/>
                </w:rPr>
                <w:t>https://crm.saggest.com/authentication/login?rel_id=1938</w:t>
              </w:r>
            </w:hyperlink>
          </w:p>
          <w:p>
            <w:pPr>
              <w:pStyle w:val="CFSmallNote"/>
            </w:pPr>
            <w:r>
              <w:rPr>
                <w:rFonts w:ascii="Calibri" w:hAnsi="Calibri"/>
                <w:color w:val="5F6B7A"/>
                <w:sz w:val="17"/>
              </w:rPr>
              <w:t>Se acquisti un servizio dopo esserti registrato da questo link, ConcordatoFacile riceve una commissione. Per te il prezzo non cambia.</w:t>
            </w:r>
          </w:p>
        </w:tc>
      </w:tr>
    </w:tbl>
    <w:sectPr w:rsidR="00FC693F" w:rsidRPr="0006063C" w:rsidSect="00034616">
      <w:headerReference w:type="even" r:id="rId9"/>
      <w:footerReference w:type="even" r:id="rId10"/>
      <w:headerReference w:type="default" r:id="rId11"/>
      <w:footerReference w:type="default" r:id="rId1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 xml:space="preserve">Pagina </w:t>
    </w:r>
    <w:r>
      <w:rPr>
        <w:rFonts w:ascii="Calibri" w:hAnsi="Calibri"/>
        <w:color w:val="5F6B7A"/>
        <w:sz w:val="17"/>
      </w:rPr>
      <w:fldChar w:fldCharType="begin"/>
      <w:instrText xml:space="preserve"> PAGE </w:instrText>
      <w:fldChar w:fldCharType="separate"/>
      <w:t>1</w:t>
      <w:fldChar w:fldCharType="end"/>
    </w:r>
    <w:r>
      <w:rPr>
        <w:rFonts w:ascii="Calibri" w:hAnsi="Calibri"/>
        <w:color w:val="5F6B7A"/>
        <w:sz w:val="17"/>
      </w:rPr>
      <w:tab/>
      <w:t>Fac-simile editoriale | Adattare al caso concreto</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26" w:val="right"/>
      </w:tabs>
      <w:spacing w:before="0" w:after="0"/>
      <w:pBdr>
        <w:top w:val="single" w:sz="5" w:space="4" w:color="CBC2F5"/>
      </w:pBdr>
    </w:pPr>
    <w:r>
      <w:rPr>
        <w:rFonts w:ascii="Calibri" w:hAnsi="Calibri"/>
        <w:color w:val="5F6B7A"/>
        <w:sz w:val="17"/>
      </w:rPr>
      <w:t>Fac-simile editoriale | Adattare al caso concreto</w:t>
    </w:r>
    <w:r>
      <w:rPr>
        <w:rFonts w:ascii="Calibri" w:hAnsi="Calibri"/>
        <w:color w:val="5F6B7A"/>
        <w:sz w:val="17"/>
      </w:rPr>
      <w:tab/>
      <w:t xml:space="preserve">Pagina </w:t>
    </w:r>
    <w:r>
      <w:rPr>
        <w:rFonts w:ascii="Calibri" w:hAnsi="Calibri"/>
        <w:color w:val="5F6B7A"/>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color w:val="5F6B7A"/>
        <w:sz w:val="17"/>
      </w:rPr>
      <w:t>Risoluzione consensuale</w:t>
    </w:r>
    <w:r>
      <w:rPr>
        <w:rFonts w:ascii="Calibri" w:hAnsi="Calibri"/>
        <w:b/>
        <w:color w:val="5F6B7A"/>
        <w:sz w:val="17"/>
      </w:rPr>
      <w:tab/>
      <w:t>ConcordatoFacile | Risorsa gratuita</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026" w:val="right"/>
      </w:tabs>
      <w:spacing w:before="0" w:after="0"/>
      <w:pBdr>
        <w:bottom w:val="single" w:sz="5" w:space="4" w:color="CBC2F5"/>
      </w:pBdr>
    </w:pPr>
    <w:r>
      <w:rPr>
        <w:rFonts w:ascii="Calibri" w:hAnsi="Calibri"/>
        <w:b/>
        <w:color w:val="5F6B7A"/>
        <w:sz w:val="17"/>
      </w:rPr>
      <w:t>ConcordatoFacile | Risorsa gratuita</w:t>
    </w:r>
    <w:r>
      <w:rPr>
        <w:rFonts w:ascii="Calibri" w:hAnsi="Calibri"/>
        <w:color w:val="5F6B7A"/>
        <w:sz w:val="17"/>
      </w:rPr>
      <w:tab/>
      <w:t>Risoluzione consensuale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540"/>
        </w:tabs>
        <w:ind w:left="540" w:hanging="270"/>
        <w:spacing w:after="80" w:line="300" w:lineRule="auto"/>
      </w:pPr>
    </w:lvl>
  </w:abstractNum>
  <w:num w:numId="10">
    <w:abstractNumId w:val="9"/>
  </w:num>
  <w:abstractNum w:abstractNumId="10">
    <w:multiLevelType w:val="singleLevel"/>
    <w:lvl w:ilvl="0">
      <w:start w:val="1"/>
      <w:numFmt w:val="bullet"/>
      <w:lvlText w:val="•"/>
      <w:lvlJc w:val="left"/>
      <w:pPr>
        <w:tabs>
          <w:tab w:val="num" w:pos="540"/>
        </w:tabs>
        <w:ind w:left="540" w:hanging="270"/>
        <w:spacing w:after="80" w:line="300" w:lineRule="auto"/>
      </w:p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300" w:lineRule="auto"/>
    </w:pPr>
    <w:rPr>
      <w:rFonts w:ascii="Calibri" w:hAnsi="Calibri"/>
      <w:b w:val="0"/>
      <w:i w:val="0"/>
      <w:color w:val="20262E"/>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i w:val="0"/>
      <w:color w:val="542CF2"/>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i w:val="0"/>
      <w:color w:val="542CF2"/>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i w:val="0"/>
      <w:color w:val="2A157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libri" w:hAnsi="Calibri"/>
      <w:b/>
      <w:i w:val="0"/>
      <w:color w:val="24144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pPr>
    <w:rPr>
      <w:rFonts w:asciiTheme="majorHAnsi" w:eastAsiaTheme="majorEastAsia" w:hAnsiTheme="majorHAnsi" w:cstheme="majorBidi" w:ascii="Calibri" w:hAnsi="Calibri"/>
      <w:b w:val="0"/>
      <w:i w:val="0"/>
      <w:iCs/>
      <w:color w:val="5F6B7A"/>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FKicker">
    <w:name w:val="CF Kicker"/>
    <w:basedOn w:val="Normal"/>
    <w:pPr>
      <w:keepNext/>
      <w:spacing w:before="0" w:after="40" w:line="240" w:lineRule="auto"/>
    </w:pPr>
    <w:rPr>
      <w:rFonts w:ascii="Calibri" w:hAnsi="Calibri"/>
      <w:b/>
      <w:i w:val="0"/>
      <w:color w:val="7A5A00"/>
      <w:sz w:val="19"/>
    </w:rPr>
  </w:style>
  <w:style w:type="paragraph" w:customStyle="1" w:styleId="CFTableText">
    <w:name w:val="CF Table Text"/>
    <w:basedOn w:val="Normal"/>
    <w:pPr>
      <w:keepNext w:val="0"/>
      <w:spacing w:before="0" w:after="20" w:line="259" w:lineRule="auto"/>
    </w:pPr>
    <w:rPr>
      <w:rFonts w:ascii="Calibri" w:hAnsi="Calibri"/>
      <w:b w:val="0"/>
      <w:i w:val="0"/>
      <w:color w:val="20262E"/>
      <w:sz w:val="18"/>
    </w:rPr>
  </w:style>
  <w:style w:type="paragraph" w:customStyle="1" w:styleId="CFTableHeader">
    <w:name w:val="CF Table Header"/>
    <w:basedOn w:val="Normal"/>
    <w:pPr>
      <w:keepNext w:val="0"/>
      <w:spacing w:before="0" w:after="0" w:line="240" w:lineRule="auto"/>
    </w:pPr>
    <w:rPr>
      <w:rFonts w:ascii="Calibri" w:hAnsi="Calibri"/>
      <w:b/>
      <w:i w:val="0"/>
      <w:color w:val="241449"/>
      <w:sz w:val="18"/>
    </w:rPr>
  </w:style>
  <w:style w:type="paragraph" w:customStyle="1" w:styleId="CFSmallNote">
    <w:name w:val="CF Small Note"/>
    <w:basedOn w:val="Normal"/>
    <w:pPr>
      <w:keepNext w:val="0"/>
      <w:spacing w:before="0" w:after="60" w:line="264" w:lineRule="auto"/>
    </w:pPr>
    <w:rPr>
      <w:rFonts w:ascii="Calibri" w:hAnsi="Calibri"/>
      <w:b w:val="0"/>
      <w:i w:val="0"/>
      <w:color w:val="5F6B7A"/>
      <w:sz w:val="17"/>
    </w:rPr>
  </w:style>
  <w:style w:type="paragraph" w:customStyle="1" w:styleId="CFSource">
    <w:name w:val="CF Source"/>
    <w:basedOn w:val="Normal"/>
    <w:pPr>
      <w:keepNext w:val="0"/>
      <w:spacing w:before="80" w:after="80" w:line="264" w:lineRule="auto"/>
    </w:pPr>
    <w:rPr>
      <w:rFonts w:ascii="Calibri" w:hAnsi="Calibri"/>
      <w:b w:val="0"/>
      <w:i w:val="0"/>
      <w:color w:val="5F6B7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www.normattiva.it/uri-res/N2Ls?urn:nir:stato:regio.decreto:1942-03-16;262~art1372" TargetMode="External"/><Relationship Id="rId14" Type="http://schemas.openxmlformats.org/officeDocument/2006/relationships/hyperlink" Target="https://www.normattiva.it/uri-res/N2Ls?urn:nir:presidente.repubblica:decreto:1986-04-26;131~art17" TargetMode="External"/><Relationship Id="rId15" Type="http://schemas.openxmlformats.org/officeDocument/2006/relationships/hyperlink" Target="https://www.normattiva.it/uri-res/N2Ls?urn:nir:presidente.repubblica:decreto:1986-04-26;131~art28" TargetMode="External"/><Relationship Id="rId16" Type="http://schemas.openxmlformats.org/officeDocument/2006/relationships/hyperlink" Target="https://www.normattiva.it/uri-res/N2Ls?urn:nir:stato:decreto.legislativo:2011-03-14;23~art3" TargetMode="External"/><Relationship Id="rId17" Type="http://schemas.openxmlformats.org/officeDocument/2006/relationships/hyperlink" Target="https://www.agenziaentrate.gov.it/portale/schede/fabbricatiterreni/adempimenti-successivi/risoluzione-cittadini" TargetMode="External"/><Relationship Id="rId18" Type="http://schemas.openxmlformats.org/officeDocument/2006/relationships/hyperlink" Target="https://apptel.agenziaentrate.gov.it/RliWeb/home" TargetMode="External"/><Relationship Id="rId19" Type="http://schemas.openxmlformats.org/officeDocument/2006/relationships/hyperlink" Target="https://crm.saggest.com/authentication/login?rel_id=1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Accordo di risoluzione consensuale della locazione</dc:title>
  <dc:subject>Fac-simile editoriale di accordo di risoluzione consensuale di un contratto di locazione, con gli adempimenti successivi alla firma.</dc:subject>
  <dc:creator>python-docx</dc:creator>
  <cp:keywords>risoluzione consensuale locazione, mutuo dissenso, fac-simile, modello RLI</cp:keywords>
  <dc:description>generated by python-docx</dc:description>
  <cp:lastModifiedBy>ConcordatoFacile</cp:lastModifiedBy>
  <cp:revision>1</cp:revision>
  <dcterms:created xsi:type="dcterms:W3CDTF">2013-12-23T23:15:00Z</dcterms:created>
  <dcterms:modified xsi:type="dcterms:W3CDTF">2013-12-23T23:15:00Z</dcterms:modified>
  <cp:category/>
</cp:coreProperties>
</file>