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FKicker"/>
      </w:pPr>
      <w:r>
        <w:rPr>
          <w:rFonts w:ascii="Calibri" w:hAnsi="Calibri"/>
          <w:b/>
          <w:color w:val="7A5A00"/>
          <w:sz w:val="19"/>
        </w:rPr>
        <w:t>RISORSA GRATUITA | SCHEDA OPERATIVA</w:t>
      </w:r>
    </w:p>
    <w:p>
      <w:pPr>
        <w:pStyle w:val="Title"/>
      </w:pPr>
      <w:r>
        <w:t>Checklist documenti per vendere casa</w:t>
      </w:r>
    </w:p>
    <w:p>
      <w:pPr>
        <w:pStyle w:val="Subtitle"/>
      </w:pPr>
      <w:r>
        <w:t>Dossier preparatorio di provenienza, Catasto, urbanistica, energia, condominio e verifiche da confermare con il notaio.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1157"/>
        <w:gridCol w:w="2681"/>
        <w:gridCol w:w="1543"/>
        <w:gridCol w:w="3645"/>
      </w:tblGrid>
      <w:tr>
        <w:trPr>
          <w:cantSplit/>
        </w:trPr>
        <w:tc>
          <w:tcPr>
            <w:tcW w:type="dxa" w:w="1157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Formato</w:t>
            </w:r>
          </w:p>
        </w:tc>
        <w:tc>
          <w:tcPr>
            <w:tcW w:type="dxa" w:w="268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20262E"/>
                <w:sz w:val="18"/>
              </w:rPr>
              <w:t>Compilabile e stampabile</w:t>
            </w:r>
          </w:p>
        </w:tc>
        <w:tc>
          <w:tcPr>
            <w:tcW w:type="dxa" w:w="1543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Versione</w:t>
            </w:r>
          </w:p>
        </w:tc>
        <w:tc>
          <w:tcPr>
            <w:tcW w:type="dxa" w:w="36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20262E"/>
                <w:sz w:val="18"/>
              </w:rPr>
              <w:t>1.0</w:t>
            </w:r>
          </w:p>
        </w:tc>
      </w:tr>
      <w:tr>
        <w:trPr>
          <w:cantSplit/>
        </w:trPr>
        <w:tc>
          <w:tcPr>
            <w:tcW w:type="dxa" w:w="1157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Revisione</w:t>
            </w:r>
          </w:p>
        </w:tc>
        <w:tc>
          <w:tcPr>
            <w:tcW w:type="dxa" w:w="268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20262E"/>
                <w:sz w:val="18"/>
              </w:rPr>
              <w:t>22 luglio 2026</w:t>
            </w:r>
          </w:p>
        </w:tc>
        <w:tc>
          <w:tcPr>
            <w:tcW w:type="dxa" w:w="1543"/>
            <w:vAlign w:val="center"/>
            <w:shd w:fill="F6F3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A1570"/>
                <w:sz w:val="18"/>
              </w:rPr>
              <w:t>Destinazione</w:t>
            </w:r>
          </w:p>
        </w:tc>
        <w:tc>
          <w:tcPr>
            <w:tcW w:type="dxa" w:w="3645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20262E"/>
                <w:sz w:val="18"/>
              </w:rPr>
              <w:t>saggest</w:t>
            </w:r>
          </w:p>
        </w:tc>
      </w:tr>
    </w:tbl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9026"/>
      </w:tblGrid>
      <w:tr>
        <w:trPr>
          <w:cantSplit/>
        </w:trPr>
        <w:tc>
          <w:tcPr>
            <w:tcW w:type="dxa" w:w="9026"/>
            <w:shd w:fill="F8F6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spacing w:before="0"/>
            </w:pPr>
            <w:r>
              <w:rPr>
                <w:rFonts w:ascii="Calibri" w:hAnsi="Calibri"/>
                <w:b/>
                <w:color w:val="7A5A00"/>
                <w:sz w:val="21"/>
              </w:rPr>
              <w:t xml:space="preserve">IMPORTANTE. </w:t>
            </w:r>
            <w:r>
              <w:rPr>
                <w:rFonts w:ascii="Calibri" w:hAnsi="Calibri"/>
                <w:color w:val="20262E"/>
                <w:sz w:val="21"/>
              </w:rPr>
              <w:t>Non esiste un elenco identico per ogni vendita. Il notaio e i tecnici incaricati definiscono documenti e verifiche necessari in base a provenienza, immobile e soggetti coinvolti.</w:t>
            </w:r>
          </w:p>
        </w:tc>
      </w:tr>
    </w:tbl>
    <w:p>
      <w:pPr>
        <w:pStyle w:val="Heading2"/>
      </w:pPr>
      <w:r>
        <w:t>Come usare la scheda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Annota per ogni documento fonte, data, titolare della copia e stato della verifica.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Distingui dati catastali e planimetria dalle verifiche urbanistiche ed edilizie.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Condividi il dossier con il notaio in anticipo quando emergono successioni, donazioni, procure o gravami.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Recupera nuove copie solo dopo avere verificato quale versione e quale data servano davvero.</w:t>
      </w:r>
    </w:p>
    <w:p>
      <w:pPr>
        <w:pStyle w:val="Heading1"/>
      </w:pPr>
      <w:r>
        <w:t>1. Venditore e titolo di provenienza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820"/>
        <w:gridCol w:w="2989"/>
        <w:gridCol w:w="5217"/>
      </w:tblGrid>
      <w:tr>
        <w:trPr>
          <w:cantSplit/>
          <w:tblHeader w:val="true"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  <w:jc w:val="center"/>
            </w:pPr>
            <w:r>
              <w:rPr>
                <w:rFonts w:ascii="Calibri" w:hAnsi="Calibri"/>
                <w:b/>
                <w:color w:val="241449"/>
                <w:sz w:val="18"/>
              </w:rPr>
              <w:t>Stato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Voce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Controllo / note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Identificazione e stato civile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Documenti e informazioni richiesti dal notaio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Atto di provenienza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Rogito, successione, donazione, decreto o altro titolo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Procure o rappresentanza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Originale/copia e poteri da verificare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Comproprietà o diritti di terzi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Soggetti, quote e titoli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Successioni o passaggi recenti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Dichiarazioni, volture e trascrizioni da controllare</w:t>
              <w:br/>
              <w:t>____________________________</w:t>
            </w:r>
          </w:p>
        </w:tc>
      </w:tr>
    </w:tbl>
    <w:p>
      <w:pPr>
        <w:pStyle w:val="Heading1"/>
      </w:pPr>
      <w:r>
        <w:t>2. Catasto, urbanistica e stato dei luoghi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820"/>
        <w:gridCol w:w="2989"/>
        <w:gridCol w:w="5217"/>
      </w:tblGrid>
      <w:tr>
        <w:trPr>
          <w:cantSplit/>
          <w:tblHeader w:val="true"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  <w:jc w:val="center"/>
            </w:pPr>
            <w:r>
              <w:rPr>
                <w:rFonts w:ascii="Calibri" w:hAnsi="Calibri"/>
                <w:b/>
                <w:color w:val="241449"/>
                <w:sz w:val="18"/>
              </w:rPr>
              <w:t>Stato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Voce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Controllo / note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Visura catastale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Intestazione e identificativi aggiornati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Planimetria catastale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Corrispondenza da verificare con lo stato reale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Titoli edilizi e varianti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Pratiche disponibili presso proprietario o Comune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Condoni, sanatorie o regolarizzazioni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Estremi e stato del procedimento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Agibilita, quando pertinente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Documento o situazione da chiarire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Relazione tecnica o rilievo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Professionista, data e perimetro della verifica</w:t>
              <w:br/>
              <w:t>____________________________</w:t>
            </w:r>
          </w:p>
        </w:tc>
      </w:tr>
    </w:tbl>
    <w:p>
      <w:pPr>
        <w:pStyle w:val="Heading1"/>
      </w:pPr>
      <w:r>
        <w:t>3. Energia, impianti e condominio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820"/>
        <w:gridCol w:w="2989"/>
        <w:gridCol w:w="5217"/>
      </w:tblGrid>
      <w:tr>
        <w:trPr>
          <w:cantSplit/>
          <w:tblHeader w:val="true"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  <w:jc w:val="center"/>
            </w:pPr>
            <w:r>
              <w:rPr>
                <w:rFonts w:ascii="Calibri" w:hAnsi="Calibri"/>
                <w:b/>
                <w:color w:val="241449"/>
                <w:sz w:val="18"/>
              </w:rPr>
              <w:t>Stato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Voce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Controllo / note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APE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File, codice, data e validità da verificare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Documenti impianti disponibili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Dichiarazioni, libretti e manutenzioni pertinenti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Amministratore e regolamento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Contatti e documenti condominiali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Spese e delibere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Situazione e lavori deliberati da comunicare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Pertinenze e parti comuni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Titoli, identificativi e uso</w:t>
              <w:br/>
              <w:t>____________________________</w:t>
            </w:r>
          </w:p>
        </w:tc>
      </w:tr>
    </w:tbl>
    <w:p>
      <w:pPr>
        <w:pStyle w:val="Heading1"/>
      </w:pPr>
      <w:r>
        <w:t>4. Gravami, contratti e aspetti economici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820"/>
        <w:gridCol w:w="2989"/>
        <w:gridCol w:w="5217"/>
      </w:tblGrid>
      <w:tr>
        <w:trPr>
          <w:cantSplit/>
          <w:tblHeader w:val="true"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  <w:jc w:val="center"/>
            </w:pPr>
            <w:r>
              <w:rPr>
                <w:rFonts w:ascii="Calibri" w:hAnsi="Calibri"/>
                <w:b/>
                <w:color w:val="241449"/>
                <w:sz w:val="18"/>
              </w:rPr>
              <w:t>Stato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Voce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Controllo / note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Mutui e ipoteche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Informazioni da sottoporre al notaio; eventuali visure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Pignoramenti o domande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Verifica professionale nei registri immobiliari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Locazioni o occupazione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Contratto, scadenze e stato dell'immobile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Preliminare e pagamenti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Versione, registrazione, caparre e intermediari</w:t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82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  <w:jc w:val="center"/>
            </w:pPr>
            <w:r>
              <w:rPr>
                <w:rFonts w:ascii="Calibri" w:hAnsi="Calibri"/>
                <w:b w:val="0"/>
                <w:color w:val="2A1570"/>
                <w:sz w:val="18"/>
              </w:rPr>
              <w:t>□</w:t>
            </w:r>
          </w:p>
        </w:tc>
        <w:tc>
          <w:tcPr>
            <w:tcW w:type="dxa" w:w="2989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/>
                <w:color w:val="20262E"/>
                <w:sz w:val="18"/>
              </w:rPr>
              <w:t>Mediazione immobiliare</w:t>
            </w:r>
          </w:p>
        </w:tc>
        <w:tc>
          <w:tcPr>
            <w:tcW w:type="dxa" w:w="5217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b w:val="0"/>
                <w:color w:val="5F6B7A"/>
                <w:sz w:val="18"/>
              </w:rPr>
              <w:t>Incarico e dati dell'intermediario</w:t>
              <w:br/>
              <w:t>____________________________</w:t>
            </w:r>
          </w:p>
        </w:tc>
      </w:tr>
    </w:tbl>
    <w:p>
      <w:pPr>
        <w:pStyle w:val="Heading1"/>
      </w:pPr>
      <w:r>
        <w:t>5. Registro dei file consegnati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3472"/>
        <w:gridCol w:w="2121"/>
        <w:gridCol w:w="3433"/>
      </w:tblGrid>
      <w:tr>
        <w:trPr>
          <w:cantSplit/>
          <w:tblHeader w:val="true"/>
        </w:trPr>
        <w:tc>
          <w:tcPr>
            <w:tcW w:type="dxa" w:w="347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Documento / file</w:t>
            </w:r>
          </w:p>
        </w:tc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Data / versione</w:t>
            </w:r>
          </w:p>
        </w:tc>
        <w:tc>
          <w:tcPr>
            <w:tcW w:type="dxa" w:w="343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  <w:shd w:fill="EEE9FF" w:val="clear"/>
          </w:tcPr>
          <w:p>
            <w:pPr>
              <w:pStyle w:val="CFTableHeader"/>
              <w:spacing w:before="0"/>
            </w:pPr>
            <w:r>
              <w:rPr>
                <w:rFonts w:ascii="Calibri" w:hAnsi="Calibri"/>
                <w:b/>
                <w:color w:val="241449"/>
                <w:sz w:val="18"/>
              </w:rPr>
              <w:t>Consegnato a / note</w:t>
            </w:r>
          </w:p>
        </w:tc>
      </w:tr>
      <w:tr>
        <w:trPr>
          <w:cantSplit/>
        </w:trPr>
        <w:tc>
          <w:tcPr>
            <w:tcW w:type="dxa" w:w="347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43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47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43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47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43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47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43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47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43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47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43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47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43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47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43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47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43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  <w:tr>
        <w:trPr>
          <w:cantSplit/>
        </w:trPr>
        <w:tc>
          <w:tcPr>
            <w:tcW w:type="dxa" w:w="3472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2121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  <w:tc>
          <w:tcPr>
            <w:tcW w:type="dxa" w:w="3433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 w:after="80"/>
            </w:pPr>
            <w:r>
              <w:rPr>
                <w:rFonts w:ascii="Calibri" w:hAnsi="Calibri"/>
                <w:b w:val="0"/>
                <w:color w:val="8A93A0"/>
                <w:sz w:val="18"/>
              </w:rPr>
              <w:br/>
              <w:t>____________________________</w:t>
            </w:r>
          </w:p>
        </w:tc>
      </w:tr>
    </w:tbl>
    <w:p>
      <w:pPr>
        <w:pStyle w:val="Heading1"/>
      </w:pPr>
      <w:r>
        <w:t>6. Questioni per notaio e tecnici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9026"/>
      </w:tblGrid>
      <w:tr>
        <w:trPr>
          <w:cantSplit/>
        </w:trPr>
        <w:tc>
          <w:tcPr>
            <w:tcW w:type="dxa" w:w="9026"/>
            <w:shd w:fill="FFFF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pStyle w:val="CFTableText"/>
              <w:spacing w:before="0"/>
            </w:pP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  <w:br/>
            </w:r>
            <w:r>
              <w:rPr>
                <w:rFonts w:ascii="Calibri" w:hAnsi="Calibri"/>
                <w:color w:val="A5AFBA"/>
                <w:sz w:val="17"/>
              </w:rPr>
              <w:t>________________________________________________________________________________</w:t>
            </w:r>
          </w:p>
        </w:tc>
      </w:tr>
    </w:tbl>
    <w:p>
      <w:pPr>
        <w:pStyle w:val="Heading1"/>
      </w:pPr>
      <w:r>
        <w:t>Controllo finale</w:t>
      </w:r>
    </w:p>
    <w:p>
      <w:pPr>
        <w:numPr>
          <w:ilvl w:val="0"/>
          <w:numId w:val="11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Il notaio ha confermato l'elenco necessario per il caso concreto.</w:t>
      </w:r>
    </w:p>
    <w:p>
      <w:pPr>
        <w:numPr>
          <w:ilvl w:val="0"/>
          <w:numId w:val="11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Catasto, urbanistica ed energia sono trattati come controlli distinti.</w:t>
      </w:r>
    </w:p>
    <w:p>
      <w:pPr>
        <w:numPr>
          <w:ilvl w:val="0"/>
          <w:numId w:val="11"/>
        </w:numPr>
        <w:spacing w:after="80" w:line="300" w:lineRule="auto"/>
      </w:pPr>
      <w:r>
        <w:rPr>
          <w:rFonts w:ascii="Calibri" w:hAnsi="Calibri"/>
          <w:color w:val="20262E"/>
          <w:sz w:val="22"/>
        </w:rPr>
        <w:t>Le copie personali sono condivise solo attraverso canali concordati.</w:t>
      </w:r>
    </w:p>
    <w:p>
      <w:pPr>
        <w:pStyle w:val="Heading1"/>
      </w:pPr>
      <w:r>
        <w:t>Fonti, limiti e prossimo passo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9026"/>
      </w:tblGrid>
      <w:tr>
        <w:trPr>
          <w:cantSplit/>
        </w:trPr>
        <w:tc>
          <w:tcPr>
            <w:tcW w:type="dxa" w:w="9026"/>
            <w:shd w:fill="F8F6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spacing w:before="0"/>
            </w:pPr>
            <w:r>
              <w:rPr>
                <w:rFonts w:ascii="Calibri" w:hAnsi="Calibri"/>
                <w:b/>
                <w:color w:val="7A5A00"/>
                <w:sz w:val="21"/>
              </w:rPr>
              <w:t xml:space="preserve">LIMITI D'USO. </w:t>
            </w:r>
            <w:r>
              <w:rPr>
                <w:rFonts w:ascii="Calibri" w:hAnsi="Calibri"/>
                <w:color w:val="20262E"/>
                <w:sz w:val="21"/>
              </w:rPr>
              <w:t>Documento informativo e organizzativo: non sostituisce un atto ufficiale, una perizia, una certificazione o una consulenza sul caso concreto.</w:t>
            </w:r>
          </w:p>
        </w:tc>
      </w:tr>
    </w:tbl>
    <w:p>
      <w:pPr>
        <w:pStyle w:val="Heading2"/>
      </w:pPr>
      <w:r>
        <w:t>Fonti</w:t>
      </w:r>
    </w:p>
    <w:p>
      <w:pPr>
        <w:pStyle w:val="CFSource"/>
      </w:pPr>
      <w:hyperlink r:id="rId13">
        <w:r>
          <w:rPr>
            <w:rStyle w:val="Hyperlink"/>
            <w:color w:val="542CF2"/>
            <w:u w:val="single"/>
            <w:rFonts w:ascii="Calibri" w:hAnsi="Calibri"/>
            <w:sz w:val="17"/>
            <w:szCs w:val="17"/>
          </w:rPr>
          <w:t>Agenzia delle Entrate - Guida all'acquisto della casa</w:t>
        </w:r>
      </w:hyperlink>
    </w:p>
    <w:p>
      <w:pPr>
        <w:pStyle w:val="CFSource"/>
      </w:pPr>
      <w:hyperlink r:id="rId14">
        <w:r>
          <w:rPr>
            <w:rStyle w:val="Hyperlink"/>
            <w:color w:val="542CF2"/>
            <w:u w:val="single"/>
            <w:rFonts w:ascii="Calibri" w:hAnsi="Calibri"/>
            <w:sz w:val="17"/>
            <w:szCs w:val="17"/>
          </w:rPr>
          <w:t>Consiglio Nazionale del Notariato - Documenti per la compravendita</w:t>
        </w:r>
      </w:hyperlink>
    </w:p>
    <w:p>
      <w:pPr>
        <w:pStyle w:val="CFSource"/>
      </w:pPr>
      <w:hyperlink r:id="rId15">
        <w:r>
          <w:rPr>
            <w:rStyle w:val="Hyperlink"/>
            <w:color w:val="542CF2"/>
            <w:u w:val="single"/>
            <w:rFonts w:ascii="Calibri" w:hAnsi="Calibri"/>
            <w:sz w:val="17"/>
            <w:szCs w:val="17"/>
          </w:rPr>
          <w:t>D.Lgs. 192/2005, articolo 6 - APE</w:t>
        </w:r>
      </w:hyperlink>
    </w:p>
    <w:p>
      <w:pPr>
        <w:pStyle w:val="CFSource"/>
      </w:pPr>
      <w:hyperlink r:id="rId16">
        <w:r>
          <w:rPr>
            <w:rStyle w:val="Hyperlink"/>
            <w:color w:val="542CF2"/>
            <w:u w:val="single"/>
            <w:rFonts w:ascii="Calibri" w:hAnsi="Calibri"/>
            <w:sz w:val="17"/>
            <w:szCs w:val="17"/>
          </w:rPr>
          <w:t>Legge 52/1985, articolo 29 - conformità catastale</w:t>
        </w:r>
      </w:hyperlink>
    </w:p>
    <w:p>
      <w:pPr>
        <w:pStyle w:val="Heading2"/>
      </w:pPr>
      <w:r>
        <w:t>Continua solo se ti serve</w:t>
      </w:r>
    </w:p>
    <w:tbl>
      <w:tblPr>
        <w:tblW w:type="dxa" w:w="9026"/>
        <w:jc w:val="left"/>
        <w:tblLayout w:type="fixed"/>
        <w:tblLook w:firstColumn="1" w:firstRow="1" w:lastColumn="0" w:lastRow="0" w:noHBand="0" w:noVBand="1" w:val="04A0"/>
        <w:tblInd w:type="dxa" w:w="120"/>
      </w:tblPr>
      <w:tblGrid>
        <w:gridCol w:w="9026"/>
      </w:tblGrid>
      <w:tr>
        <w:trPr>
          <w:cantSplit/>
        </w:trPr>
        <w:tc>
          <w:tcPr>
            <w:tcW w:type="dxa" w:w="9026"/>
            <w:shd w:fill="EEE9FF" w:val="clear"/>
            <w:tcMar>
              <w:top w:w="80" w:type="dxa"/>
              <w:bottom w:w="80" w:type="dxa"/>
              <w:start w:w="120" w:type="dxa"/>
              <w:end w:w="120" w:type="dxa"/>
            </w:tcMar>
            <w:tcBorders>
              <w:top w:val="single" w:sz="4" w:space="0" w:color="CBC2F5"/>
              <w:left w:val="single" w:sz="4" w:space="0" w:color="CBC2F5"/>
              <w:bottom w:val="single" w:sz="4" w:space="0" w:color="CBC2F5"/>
              <w:right w:val="single" w:sz="4" w:space="0" w:color="CBC2F5"/>
              <w:insideH w:val="single" w:sz="4" w:space="0" w:color="CBC2F5"/>
              <w:insideV w:val="single" w:sz="4" w:space="0" w:color="CBC2F5"/>
            </w:tcBorders>
          </w:tcPr>
          <w:p>
            <w:pPr>
              <w:spacing w:before="0"/>
            </w:pPr>
            <w:r>
              <w:rPr>
                <w:rFonts w:ascii="Calibri" w:hAnsi="Calibri"/>
                <w:b/>
                <w:color w:val="241449"/>
                <w:sz w:val="22"/>
              </w:rPr>
              <w:t xml:space="preserve">Accedi ai servizi immobiliari online: </w:t>
            </w:r>
            <w:hyperlink r:id="rId17">
              <w:r>
                <w:rPr>
                  <w:rStyle w:val="Hyperlink"/>
                  <w:color w:val="542CF2"/>
                  <w:u w:val="single"/>
                  <w:rFonts w:ascii="Calibri" w:hAnsi="Calibri"/>
                  <w:sz w:val="20"/>
                  <w:szCs w:val="20"/>
                  <w:b/>
                </w:rPr>
                <w:t>https://crm.saggest.com/authentication/login?rel_id=1938</w:t>
              </w:r>
            </w:hyperlink>
          </w:p>
          <w:p>
            <w:pPr>
              <w:pStyle w:val="CFSmallNote"/>
            </w:pPr>
            <w:r>
              <w:rPr>
                <w:rFonts w:ascii="Calibri" w:hAnsi="Calibri"/>
                <w:color w:val="5F6B7A"/>
                <w:sz w:val="17"/>
              </w:rPr>
              <w:t>ConcordatoFacile riceve una commissione dal partner sugli acquisti di chi si registra tramite questo link, senza alcun sovrapprezzo per l'utente.</w:t>
            </w:r>
          </w:p>
        </w:tc>
      </w:tr>
    </w:tbl>
    <w:sectPr>
      <w:headerReference w:type="even" r:id="rId9"/>
      <w:footerReference w:type="even" r:id="rId10"/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026" w:val="right"/>
      </w:tabs>
      <w:spacing w:before="0" w:after="0"/>
      <w:pBdr>
        <w:top w:val="single" w:sz="5" w:space="4" w:color="CBC2F5"/>
      </w:pBdr>
    </w:pPr>
    <w:r>
      <w:rPr>
        <w:rFonts w:ascii="Calibri" w:hAnsi="Calibri"/>
        <w:color w:val="5F6B7A"/>
        <w:sz w:val="17"/>
      </w:rPr>
      <w:t xml:space="preserve">Pagina </w:t>
    </w:r>
    <w:r>
      <w:rPr>
        <w:rFonts w:ascii="Calibri" w:hAnsi="Calibri"/>
        <w:color w:val="5F6B7A"/>
        <w:sz w:val="17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Calibri" w:hAnsi="Calibri"/>
        <w:color w:val="5F6B7A"/>
        <w:sz w:val="17"/>
      </w:rPr>
      <w:tab/>
      <w:t>Dossier preparatorio | Confermare con il notaio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026" w:val="right"/>
      </w:tabs>
      <w:spacing w:before="0" w:after="0"/>
      <w:pBdr>
        <w:top w:val="single" w:sz="5" w:space="4" w:color="CBC2F5"/>
      </w:pBdr>
    </w:pPr>
    <w:r>
      <w:rPr>
        <w:rFonts w:ascii="Calibri" w:hAnsi="Calibri"/>
        <w:color w:val="5F6B7A"/>
        <w:sz w:val="17"/>
      </w:rPr>
      <w:t>Dossier preparatorio | Confermare con il notaio</w:t>
    </w:r>
    <w:r>
      <w:rPr>
        <w:rFonts w:ascii="Calibri" w:hAnsi="Calibri"/>
        <w:color w:val="5F6B7A"/>
        <w:sz w:val="17"/>
      </w:rPr>
      <w:tab/>
      <w:t xml:space="preserve">Pagina </w:t>
    </w:r>
    <w:r>
      <w:rPr>
        <w:rFonts w:ascii="Calibri" w:hAnsi="Calibri"/>
        <w:color w:val="5F6B7A"/>
        <w:sz w:val="17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026" w:val="right"/>
      </w:tabs>
      <w:spacing w:before="0" w:after="0"/>
      <w:pBdr>
        <w:bottom w:val="single" w:sz="5" w:space="4" w:color="CBC2F5"/>
      </w:pBdr>
    </w:pPr>
    <w:r>
      <w:rPr>
        <w:rFonts w:ascii="Calibri" w:hAnsi="Calibri"/>
        <w:color w:val="5F6B7A"/>
        <w:sz w:val="17"/>
      </w:rPr>
      <w:t>Checklist documenti vendita</w:t>
    </w:r>
    <w:r>
      <w:rPr>
        <w:rFonts w:ascii="Calibri" w:hAnsi="Calibri"/>
        <w:b/>
        <w:color w:val="5F6B7A"/>
        <w:sz w:val="17"/>
      </w:rPr>
      <w:tab/>
      <w:t>ConcordatoFacile | Risorsa gratuita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026" w:val="right"/>
      </w:tabs>
      <w:spacing w:before="0" w:after="0"/>
      <w:pBdr>
        <w:bottom w:val="single" w:sz="5" w:space="4" w:color="CBC2F5"/>
      </w:pBdr>
    </w:pPr>
    <w:r>
      <w:rPr>
        <w:rFonts w:ascii="Calibri" w:hAnsi="Calibri"/>
        <w:b/>
        <w:color w:val="5F6B7A"/>
        <w:sz w:val="17"/>
      </w:rPr>
      <w:t>ConcordatoFacile | Risorsa gratuita</w:t>
    </w:r>
    <w:r>
      <w:rPr>
        <w:rFonts w:ascii="Calibri" w:hAnsi="Calibri"/>
        <w:color w:val="5F6B7A"/>
        <w:sz w:val="17"/>
      </w:rPr>
      <w:tab/>
      <w:t>Checklist documenti vendita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270"/>
        <w:spacing w:after="80" w:line="300" w:lineRule="auto"/>
      </w:pPr>
    </w:lvl>
  </w:abstractNum>
  <w:num w:numId="10">
    <w:abstractNumId w:val="9"/>
  </w:num>
  <w:abstractNum w:abstractNumId="10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0"/>
        <w:spacing w:after="80" w:line="300" w:lineRule="auto"/>
      </w:pPr>
    </w:lvl>
  </w:abstract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evenAndOddHeaders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spacing w:before="0" w:after="120" w:line="300" w:lineRule="auto"/>
    </w:pPr>
    <w:rPr>
      <w:rFonts w:ascii="Calibri" w:hAnsi="Calibri"/>
      <w:b w:val="0"/>
      <w:i w:val="0"/>
      <w:color w:val="20262E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240" w:lineRule="auto"/>
      <w:outlineLvl w:val="0"/>
    </w:pPr>
    <w:rPr>
      <w:rFonts w:asciiTheme="majorHAnsi" w:eastAsiaTheme="majorEastAsia" w:hAnsiTheme="majorHAnsi" w:cstheme="majorBidi" w:ascii="Calibri" w:hAnsi="Calibri"/>
      <w:b/>
      <w:bCs/>
      <w:i w:val="0"/>
      <w:color w:val="542CF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240" w:lineRule="auto"/>
      <w:outlineLvl w:val="1"/>
    </w:pPr>
    <w:rPr>
      <w:rFonts w:asciiTheme="majorHAnsi" w:eastAsiaTheme="majorEastAsia" w:hAnsiTheme="majorHAnsi" w:cstheme="majorBidi" w:ascii="Calibri" w:hAnsi="Calibri"/>
      <w:b/>
      <w:bCs/>
      <w:i w:val="0"/>
      <w:color w:val="542CF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240" w:lineRule="auto"/>
      <w:outlineLvl w:val="2"/>
    </w:pPr>
    <w:rPr>
      <w:rFonts w:asciiTheme="majorHAnsi" w:eastAsiaTheme="majorEastAsia" w:hAnsiTheme="majorHAnsi" w:cstheme="majorBidi" w:ascii="Calibri" w:hAnsi="Calibri"/>
      <w:b/>
      <w:bCs/>
      <w:i w:val="0"/>
      <w:color w:val="2A157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i w:val="0"/>
      <w:color w:val="241449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360" w:line="276" w:lineRule="auto"/>
    </w:pPr>
    <w:rPr>
      <w:rFonts w:asciiTheme="majorHAnsi" w:eastAsiaTheme="majorEastAsia" w:hAnsiTheme="majorHAnsi" w:cstheme="majorBidi" w:ascii="Calibri" w:hAnsi="Calibri"/>
      <w:b w:val="0"/>
      <w:i w:val="0"/>
      <w:iCs/>
      <w:color w:val="5F6B7A"/>
      <w:spacing w:val="15"/>
      <w:sz w:val="27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FKicker">
    <w:name w:val="CF Kicker"/>
    <w:basedOn w:val="Normal"/>
    <w:pPr>
      <w:keepNext/>
      <w:spacing w:before="0" w:after="40" w:line="240" w:lineRule="auto"/>
    </w:pPr>
    <w:rPr>
      <w:rFonts w:ascii="Calibri" w:hAnsi="Calibri"/>
      <w:b/>
      <w:i w:val="0"/>
      <w:color w:val="7A5A00"/>
      <w:sz w:val="19"/>
    </w:rPr>
  </w:style>
  <w:style w:type="paragraph" w:customStyle="1" w:styleId="CFTableText">
    <w:name w:val="CF Table Text"/>
    <w:basedOn w:val="Normal"/>
    <w:pPr>
      <w:keepNext w:val="0"/>
      <w:spacing w:before="0" w:after="20" w:line="259" w:lineRule="auto"/>
    </w:pPr>
    <w:rPr>
      <w:rFonts w:ascii="Calibri" w:hAnsi="Calibri"/>
      <w:b w:val="0"/>
      <w:i w:val="0"/>
      <w:color w:val="20262E"/>
      <w:sz w:val="18"/>
    </w:rPr>
  </w:style>
  <w:style w:type="paragraph" w:customStyle="1" w:styleId="CFTableHeader">
    <w:name w:val="CF Table Header"/>
    <w:basedOn w:val="Normal"/>
    <w:pPr>
      <w:keepNext w:val="0"/>
      <w:spacing w:before="0" w:after="0" w:line="240" w:lineRule="auto"/>
    </w:pPr>
    <w:rPr>
      <w:rFonts w:ascii="Calibri" w:hAnsi="Calibri"/>
      <w:b/>
      <w:i w:val="0"/>
      <w:color w:val="241449"/>
      <w:sz w:val="18"/>
    </w:rPr>
  </w:style>
  <w:style w:type="paragraph" w:customStyle="1" w:styleId="CFSmallNote">
    <w:name w:val="CF Small Note"/>
    <w:basedOn w:val="Normal"/>
    <w:pPr>
      <w:keepNext w:val="0"/>
      <w:spacing w:before="0" w:after="60" w:line="264" w:lineRule="auto"/>
    </w:pPr>
    <w:rPr>
      <w:rFonts w:ascii="Calibri" w:hAnsi="Calibri"/>
      <w:b w:val="0"/>
      <w:i w:val="0"/>
      <w:color w:val="5F6B7A"/>
      <w:sz w:val="17"/>
    </w:rPr>
  </w:style>
  <w:style w:type="paragraph" w:customStyle="1" w:styleId="CFSource">
    <w:name w:val="CF Source"/>
    <w:basedOn w:val="Normal"/>
    <w:pPr>
      <w:keepNext w:val="0"/>
      <w:spacing w:before="80" w:after="80" w:line="264" w:lineRule="auto"/>
    </w:pPr>
    <w:rPr>
      <w:rFonts w:ascii="Calibri" w:hAnsi="Calibri"/>
      <w:b w:val="0"/>
      <w:i w:val="0"/>
      <w:color w:val="5F6B7A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yperlink" Target="https://www1.agenziaentrate.gov.it/web_app_entrate/guida_acquisto_casa.html" TargetMode="External"/><Relationship Id="rId14" Type="http://schemas.openxmlformats.org/officeDocument/2006/relationships/hyperlink" Target="https://www.notariato.it/it/casa/lista-documenti-da-fornire-caso-di-compravendita-immobiliare/" TargetMode="External"/><Relationship Id="rId15" Type="http://schemas.openxmlformats.org/officeDocument/2006/relationships/hyperlink" Target="https://www.normattiva.it/uri-res/N2Ls?urn:nir:stato:decreto.legislativo:2005-08-19;192~art6" TargetMode="External"/><Relationship Id="rId16" Type="http://schemas.openxmlformats.org/officeDocument/2006/relationships/hyperlink" Target="https://www.normattiva.it/uri-res/N2Ls?urn:nir:stato:legge:1985-02-27;52~art29" TargetMode="External"/><Relationship Id="rId17" Type="http://schemas.openxmlformats.org/officeDocument/2006/relationships/hyperlink" Target="https://crm.saggest.com/authentication/login?rel_id=1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documenti per vendere casa</dc:title>
  <dc:subject>Dossier preparatorio di provenienza, Catasto, urbanistica, energia, condominio e verifiche da confermare con il notaio.</dc:subject>
  <dc:creator/>
  <cp:keywords>documenti vendere casa, checklist vendita immobile, notaio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