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FKicker"/>
      </w:pPr>
      <w:r>
        <w:rPr>
          <w:rFonts w:ascii="Calibri" w:hAnsi="Calibri"/>
          <w:b/>
          <w:color w:val="7A5A00"/>
          <w:sz w:val="19"/>
        </w:rPr>
        <w:t>RISORSA GRATUITA | SCHEDA OPERATIVA</w:t>
      </w:r>
    </w:p>
    <w:p>
      <w:pPr>
        <w:pStyle w:val="Title"/>
      </w:pPr>
      <w:r>
        <w:t>Checklist per la voltura catastale</w:t>
      </w:r>
    </w:p>
    <w:p>
      <w:pPr>
        <w:pStyle w:val="Subtitle"/>
      </w:pPr>
      <w:r>
        <w:t>Scheda preparatoria di titolo, soggetti, unità catastali e allegati per una voltura da verificare sulla procedura ufficiale.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157"/>
        <w:gridCol w:w="2681"/>
        <w:gridCol w:w="1543"/>
        <w:gridCol w:w="3645"/>
      </w:tblGrid>
      <w:tr>
        <w:trPr>
          <w:cantSplit/>
        </w:trPr>
        <w:tc>
          <w:tcPr>
            <w:tcW w:type="dxa" w:w="1157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Formato</w:t>
            </w:r>
          </w:p>
        </w:tc>
        <w:tc>
          <w:tcPr>
            <w:tcW w:type="dxa" w:w="268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Compilabile e stampabile</w:t>
            </w:r>
          </w:p>
        </w:tc>
        <w:tc>
          <w:tcPr>
            <w:tcW w:type="dxa" w:w="1543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Versione</w:t>
            </w:r>
          </w:p>
        </w:tc>
        <w:tc>
          <w:tcPr>
            <w:tcW w:type="dxa" w:w="364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1.0</w:t>
            </w:r>
          </w:p>
        </w:tc>
      </w:tr>
      <w:tr>
        <w:trPr>
          <w:cantSplit/>
        </w:trPr>
        <w:tc>
          <w:tcPr>
            <w:tcW w:type="dxa" w:w="1157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Revisione</w:t>
            </w:r>
          </w:p>
        </w:tc>
        <w:tc>
          <w:tcPr>
            <w:tcW w:type="dxa" w:w="268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22 luglio 2026</w:t>
            </w:r>
          </w:p>
        </w:tc>
        <w:tc>
          <w:tcPr>
            <w:tcW w:type="dxa" w:w="1543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Destinazione</w:t>
            </w:r>
          </w:p>
        </w:tc>
        <w:tc>
          <w:tcPr>
            <w:tcW w:type="dxa" w:w="364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saggest</w:t>
            </w:r>
          </w:p>
        </w:tc>
      </w:tr>
    </w:tbl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8F6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7A5A00"/>
                <w:sz w:val="21"/>
              </w:rPr>
              <w:t xml:space="preserve">IMPORTANTE. </w:t>
            </w:r>
            <w:r>
              <w:rPr>
                <w:rFonts w:ascii="Calibri" w:hAnsi="Calibri"/>
                <w:color w:val="20262E"/>
                <w:sz w:val="21"/>
              </w:rPr>
              <w:t>La checklist non presenta la voltura e non verifica il titolo. Prima dell'invio conferma soggetti, quote, immobili, allegati e procedura applicabile all'evento concreto.</w:t>
            </w:r>
          </w:p>
        </w:tc>
      </w:tr>
    </w:tbl>
    <w:p>
      <w:pPr>
        <w:pStyle w:val="Heading2"/>
      </w:pPr>
      <w:r>
        <w:t>Come usare la scheda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Identifica l'atto o l'evento che modifica l'intestazione e annotane estremi e registrazione.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Copia soggetti, diritti e quote da documenti attendibili senza ricostruirli a memoria.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Confronta gli identificativi catastali con visure aggiornate e segnala incoerenze.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Dopo l'invio conserva ricevuta e controlla l'esito con una visura successiva quando opportuno.</w:t>
      </w:r>
    </w:p>
    <w:p>
      <w:pPr>
        <w:pStyle w:val="Heading1"/>
      </w:pPr>
      <w:r>
        <w:t>1. Titolo o evento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48"/>
        <w:gridCol w:w="6278"/>
      </w:tblGrid>
      <w:tr>
        <w:trPr>
          <w:cantSplit/>
          <w:tblHeader w:val="true"/>
        </w:trPr>
        <w:tc>
          <w:tcPr>
            <w:tcW w:type="dxa" w:w="274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Dato da raccogliere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Compilazione / riferimento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Tipo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atto  □ successione  □ decreto  □ altro: 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Data ed estremi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Data: ____ / ____ / ______  Repertorio/protocollo: 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Registrazione / trascrizione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Ufficio, data ed estremi: 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Richiedente / referente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Nome e ruolo: 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Motivo della voltura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____________________________________________________________</w:t>
            </w:r>
          </w:p>
        </w:tc>
      </w:tr>
    </w:tbl>
    <w:p>
      <w:pPr>
        <w:pStyle w:val="Heading1"/>
      </w:pPr>
      <w:r>
        <w:t>2. Soggetti, diritti e quote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04"/>
        <w:gridCol w:w="2314"/>
        <w:gridCol w:w="4108"/>
      </w:tblGrid>
      <w:tr>
        <w:trPr>
          <w:cantSplit/>
          <w:tblHeader w:val="true"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Soggetto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Diritto e quota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Dati / note da verificare</w:t>
            </w:r>
          </w:p>
        </w:tc>
      </w:tr>
      <w:tr>
        <w:trPr>
          <w:cantSplit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60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314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10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</w:tbl>
    <w:p>
      <w:pPr>
        <w:spacing w:before="0" w:after="0"/>
      </w:pPr>
      <w:r>
        <w:br w:type="page"/>
      </w:r>
    </w:p>
    <w:p>
      <w:pPr>
        <w:pStyle w:val="Heading1"/>
      </w:pPr>
      <w:r>
        <w:t>3. Unità immobiliari o terreni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2989"/>
        <w:gridCol w:w="3337"/>
      </w:tblGrid>
      <w:tr>
        <w:trPr>
          <w:cantSplit/>
          <w:tblHeader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Comune / bene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Foglio-particella-subalterno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Categoria / quota / note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3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</w:tbl>
    <w:p>
      <w:pPr>
        <w:pStyle w:val="Heading1"/>
      </w:pPr>
      <w:r>
        <w:t>4. Allegati e verifiche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820"/>
        <w:gridCol w:w="2989"/>
        <w:gridCol w:w="5217"/>
      </w:tblGrid>
      <w:tr>
        <w:trPr>
          <w:cantSplit/>
          <w:tblHeader w:val="true"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  <w:jc w:val="center"/>
            </w:pPr>
            <w:r>
              <w:rPr>
                <w:rFonts w:ascii="Calibri" w:hAnsi="Calibri"/>
                <w:b/>
                <w:color w:val="241449"/>
                <w:sz w:val="18"/>
              </w:rPr>
              <w:t>Stato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Voce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Controllo / note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Titolo o dichiarazione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Copia, estremi e leggibilità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Dati catastali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Visure o altra fonte aggiornata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Soggetti e codici fiscali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Coerenza con il titolo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Diritti e quote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Corrispondenza con l'evento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Delega, se necessaria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Identità, firma e canale di presentazione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Altri allegati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Solo quelli richiesti dalla procedura</w:t>
              <w:br/>
              <w:t>____________________________</w:t>
            </w:r>
          </w:p>
        </w:tc>
      </w:tr>
    </w:tbl>
    <w:p>
      <w:pPr>
        <w:pStyle w:val="Heading1"/>
      </w:pPr>
      <w:r>
        <w:t>5. Invio, ricevuta ed esito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48"/>
        <w:gridCol w:w="6278"/>
      </w:tblGrid>
      <w:tr>
        <w:trPr>
          <w:cantSplit/>
          <w:tblHeader w:val="true"/>
        </w:trPr>
        <w:tc>
          <w:tcPr>
            <w:tcW w:type="dxa" w:w="274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Dato da raccogliere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Compilazione / riferimento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Canale / ufficio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Data invio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____ / ____ / 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Protocollo / ricevuta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Esito / richiesta integrazione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Controllo successivo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Data visura / esito: ____________________________________________________________</w:t>
            </w:r>
          </w:p>
        </w:tc>
      </w:tr>
    </w:tbl>
    <w:p>
      <w:pPr>
        <w:pStyle w:val="Heading1"/>
      </w:pPr>
      <w:r>
        <w:t>6. Questioni aperte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FFF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pStyle w:val="Heading1"/>
      </w:pPr>
      <w:r>
        <w:t>Controllo finale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Titolo, soggetti, diritti e quote sono coerenti tra loro.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Gli identificativi catastali provengono da una fonte aggiornata.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La ricevuta e l'esito della procedura sono archiviati e il risultato viene ricontrollato.</w:t>
      </w:r>
    </w:p>
    <w:p>
      <w:pPr>
        <w:pStyle w:val="Heading1"/>
      </w:pPr>
      <w:r>
        <w:t>Fonti, limiti e prossimo passo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8F6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7A5A00"/>
                <w:sz w:val="21"/>
              </w:rPr>
              <w:t xml:space="preserve">LIMITI D'USO. </w:t>
            </w:r>
            <w:r>
              <w:rPr>
                <w:rFonts w:ascii="Calibri" w:hAnsi="Calibri"/>
                <w:color w:val="20262E"/>
                <w:sz w:val="21"/>
              </w:rPr>
              <w:t>Documento informativo e organizzativo: non sostituisce un atto ufficiale, una perizia, una certificazione o una consulenza sul caso concreto.</w:t>
            </w:r>
          </w:p>
        </w:tc>
      </w:tr>
    </w:tbl>
    <w:p>
      <w:pPr>
        <w:pStyle w:val="Heading2"/>
      </w:pPr>
      <w:r>
        <w:t>Fonti</w:t>
      </w:r>
    </w:p>
    <w:p>
      <w:pPr>
        <w:pStyle w:val="CFSource"/>
      </w:pPr>
      <w:hyperlink r:id="rId13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Agenzia delle Entrate - Voltura catastale</w:t>
        </w:r>
      </w:hyperlink>
    </w:p>
    <w:p>
      <w:pPr>
        <w:pStyle w:val="CFSource"/>
      </w:pPr>
      <w:hyperlink r:id="rId14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Agenzia delle Entrate - Guida Voltura Catastale Web</w:t>
        </w:r>
      </w:hyperlink>
    </w:p>
    <w:p>
      <w:pPr>
        <w:pStyle w:val="Heading2"/>
      </w:pPr>
      <w:r>
        <w:t>Continua solo se ti serve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EEE9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241449"/>
                <w:sz w:val="22"/>
              </w:rPr>
              <w:t xml:space="preserve">Accedi ai servizi immobiliari online: </w:t>
            </w:r>
            <w:hyperlink r:id="rId15">
              <w:r>
                <w:rPr>
                  <w:rStyle w:val="Hyperlink"/>
                  <w:color w:val="542CF2"/>
                  <w:u w:val="single"/>
                  <w:rFonts w:ascii="Calibri" w:hAnsi="Calibri"/>
                  <w:sz w:val="20"/>
                  <w:szCs w:val="20"/>
                  <w:b/>
                </w:rPr>
                <w:t>https://crm.saggest.com/authentication/login?rel_id=1938</w:t>
              </w:r>
            </w:hyperlink>
          </w:p>
          <w:p>
            <w:pPr>
              <w:pStyle w:val="CFSmallNote"/>
            </w:pPr>
            <w:r>
              <w:rPr>
                <w:rFonts w:ascii="Calibri" w:hAnsi="Calibri"/>
                <w:color w:val="5F6B7A"/>
                <w:sz w:val="17"/>
              </w:rPr>
              <w:t>ConcordatoFacile riceve una commissione dal partner sugli acquisti di chi si registra tramite questo link, senza alcun sovrapprezzo per l'utente.</w:t>
            </w:r>
          </w:p>
        </w:tc>
      </w:tr>
    </w:tbl>
    <w:sectPr>
      <w:headerReference w:type="even" r:id="rId9"/>
      <w:footerReference w:type="even" r:id="rId10"/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26" w:val="right"/>
      </w:tabs>
      <w:spacing w:before="0" w:after="0"/>
      <w:pBdr>
        <w:top w:val="single" w:sz="5" w:space="4" w:color="CBC2F5"/>
      </w:pBdr>
    </w:pPr>
    <w:r>
      <w:rPr>
        <w:rFonts w:ascii="Calibri" w:hAnsi="Calibri"/>
        <w:color w:val="5F6B7A"/>
        <w:sz w:val="17"/>
      </w:rPr>
      <w:t xml:space="preserve">Pagina </w:t>
    </w:r>
    <w:r>
      <w:rPr>
        <w:rFonts w:ascii="Calibri" w:hAnsi="Calibri"/>
        <w:color w:val="5F6B7A"/>
        <w:sz w:val="17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/>
        <w:color w:val="5F6B7A"/>
        <w:sz w:val="17"/>
      </w:rPr>
      <w:tab/>
      <w:t>Preparazione documenti | Controllare la procedura vigente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26" w:val="right"/>
      </w:tabs>
      <w:spacing w:before="0" w:after="0"/>
      <w:pBdr>
        <w:top w:val="single" w:sz="5" w:space="4" w:color="CBC2F5"/>
      </w:pBdr>
    </w:pPr>
    <w:r>
      <w:rPr>
        <w:rFonts w:ascii="Calibri" w:hAnsi="Calibri"/>
        <w:color w:val="5F6B7A"/>
        <w:sz w:val="17"/>
      </w:rPr>
      <w:t>Preparazione documenti | Controllare la procedura vigente</w:t>
    </w:r>
    <w:r>
      <w:rPr>
        <w:rFonts w:ascii="Calibri" w:hAnsi="Calibri"/>
        <w:color w:val="5F6B7A"/>
        <w:sz w:val="17"/>
      </w:rPr>
      <w:tab/>
      <w:t xml:space="preserve">Pagina </w:t>
    </w:r>
    <w:r>
      <w:rPr>
        <w:rFonts w:ascii="Calibri" w:hAnsi="Calibri"/>
        <w:color w:val="5F6B7A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026" w:val="right"/>
      </w:tabs>
      <w:spacing w:before="0" w:after="0"/>
      <w:pBdr>
        <w:bottom w:val="single" w:sz="5" w:space="4" w:color="CBC2F5"/>
      </w:pBdr>
    </w:pPr>
    <w:r>
      <w:rPr>
        <w:rFonts w:ascii="Calibri" w:hAnsi="Calibri"/>
        <w:color w:val="5F6B7A"/>
        <w:sz w:val="17"/>
      </w:rPr>
      <w:t>Checklist voltura catastale</w:t>
    </w:r>
    <w:r>
      <w:rPr>
        <w:rFonts w:ascii="Calibri" w:hAnsi="Calibri"/>
        <w:b/>
        <w:color w:val="5F6B7A"/>
        <w:sz w:val="17"/>
      </w:rPr>
      <w:tab/>
      <w:t>ConcordatoFacile | Risorsa gratuita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026" w:val="right"/>
      </w:tabs>
      <w:spacing w:before="0" w:after="0"/>
      <w:pBdr>
        <w:bottom w:val="single" w:sz="5" w:space="4" w:color="CBC2F5"/>
      </w:pBdr>
    </w:pPr>
    <w:r>
      <w:rPr>
        <w:rFonts w:ascii="Calibri" w:hAnsi="Calibri"/>
        <w:b/>
        <w:color w:val="5F6B7A"/>
        <w:sz w:val="17"/>
      </w:rPr>
      <w:t>ConcordatoFacile | Risorsa gratuita</w:t>
    </w:r>
    <w:r>
      <w:rPr>
        <w:rFonts w:ascii="Calibri" w:hAnsi="Calibri"/>
        <w:color w:val="5F6B7A"/>
        <w:sz w:val="17"/>
      </w:rPr>
      <w:tab/>
      <w:t>Checklist voltura catastale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120" w:line="300" w:lineRule="auto"/>
    </w:pPr>
    <w:rPr>
      <w:rFonts w:ascii="Calibri" w:hAnsi="Calibri"/>
      <w:b w:val="0"/>
      <w:i w:val="0"/>
      <w:color w:val="20262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542CF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542CF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2A157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241449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76" w:lineRule="auto"/>
    </w:pPr>
    <w:rPr>
      <w:rFonts w:asciiTheme="majorHAnsi" w:eastAsiaTheme="majorEastAsia" w:hAnsiTheme="majorHAnsi" w:cstheme="majorBidi" w:ascii="Calibri" w:hAnsi="Calibri"/>
      <w:b w:val="0"/>
      <w:i w:val="0"/>
      <w:iCs/>
      <w:color w:val="5F6B7A"/>
      <w:spacing w:val="15"/>
      <w:sz w:val="27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FKicker">
    <w:name w:val="CF Kicker"/>
    <w:basedOn w:val="Normal"/>
    <w:pPr>
      <w:keepNext/>
      <w:spacing w:before="0" w:after="40" w:line="240" w:lineRule="auto"/>
    </w:pPr>
    <w:rPr>
      <w:rFonts w:ascii="Calibri" w:hAnsi="Calibri"/>
      <w:b/>
      <w:i w:val="0"/>
      <w:color w:val="7A5A00"/>
      <w:sz w:val="19"/>
    </w:rPr>
  </w:style>
  <w:style w:type="paragraph" w:customStyle="1" w:styleId="CFTableText">
    <w:name w:val="CF Table Text"/>
    <w:basedOn w:val="Normal"/>
    <w:pPr>
      <w:keepNext w:val="0"/>
      <w:spacing w:before="0" w:after="20" w:line="259" w:lineRule="auto"/>
    </w:pPr>
    <w:rPr>
      <w:rFonts w:ascii="Calibri" w:hAnsi="Calibri"/>
      <w:b w:val="0"/>
      <w:i w:val="0"/>
      <w:color w:val="20262E"/>
      <w:sz w:val="18"/>
    </w:rPr>
  </w:style>
  <w:style w:type="paragraph" w:customStyle="1" w:styleId="CFTableHeader">
    <w:name w:val="CF Table Header"/>
    <w:basedOn w:val="Normal"/>
    <w:pPr>
      <w:keepNext w:val="0"/>
      <w:spacing w:before="0" w:after="0" w:line="240" w:lineRule="auto"/>
    </w:pPr>
    <w:rPr>
      <w:rFonts w:ascii="Calibri" w:hAnsi="Calibri"/>
      <w:b/>
      <w:i w:val="0"/>
      <w:color w:val="241449"/>
      <w:sz w:val="18"/>
    </w:rPr>
  </w:style>
  <w:style w:type="paragraph" w:customStyle="1" w:styleId="CFSmallNote">
    <w:name w:val="CF Small Note"/>
    <w:basedOn w:val="Normal"/>
    <w:pPr>
      <w:keepNext w:val="0"/>
      <w:spacing w:before="0" w:after="60" w:line="264" w:lineRule="auto"/>
    </w:pPr>
    <w:rPr>
      <w:rFonts w:ascii="Calibri" w:hAnsi="Calibri"/>
      <w:b w:val="0"/>
      <w:i w:val="0"/>
      <w:color w:val="5F6B7A"/>
      <w:sz w:val="17"/>
    </w:rPr>
  </w:style>
  <w:style w:type="paragraph" w:customStyle="1" w:styleId="CFSource">
    <w:name w:val="CF Source"/>
    <w:basedOn w:val="Normal"/>
    <w:pPr>
      <w:keepNext w:val="0"/>
      <w:spacing w:before="80" w:after="80" w:line="264" w:lineRule="auto"/>
    </w:pPr>
    <w:rPr>
      <w:rFonts w:ascii="Calibri" w:hAnsi="Calibri"/>
      <w:b w:val="0"/>
      <w:i w:val="0"/>
      <w:color w:val="5F6B7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yperlink" Target="https://www.agenziaentrate.gov.it/portale/web/guest/schede/fabbricatiterreni/voltura-catastale" TargetMode="External"/><Relationship Id="rId14" Type="http://schemas.openxmlformats.org/officeDocument/2006/relationships/hyperlink" Target="https://catastoweb.agenziaentrate.gov.it/VolturaWeb/dist/guida%20Voltura%20Web.pdf" TargetMode="External"/><Relationship Id="rId15" Type="http://schemas.openxmlformats.org/officeDocument/2006/relationships/hyperlink" Target="https://crm.saggest.com/authentication/login?rel_id=1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per la voltura catastale</dc:title>
  <dc:subject>Scheda preparatoria di titolo, soggetti, unità catastali e allegati per una voltura da verificare sulla procedura ufficiale.</dc:subject>
  <dc:creator/>
  <cp:keywords>voltura catastale, checklist voltura, documenti catasto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