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FKicker"/>
      </w:pPr>
      <w:r>
        <w:rPr>
          <w:b/>
        </w:rPr>
        <w:t>FAC-SIMILE GRATUITO · TIPO MINISTERIALE</w:t>
      </w:r>
    </w:p>
    <w:p>
      <w:pPr>
        <w:pStyle w:val="Title"/>
      </w:pPr>
      <w:r>
        <w:t>Contratto di locazione 3+2</w:t>
      </w:r>
    </w:p>
    <w:p>
      <w:pPr>
        <w:pStyle w:val="Subtitle"/>
      </w:pPr>
      <w:r>
        <w:t>Trascrizione editabile dell'Allegato A al DM 16 gennaio 2017, da coordinare con l'accordo territoriale applicabile.</w:t>
      </w:r>
    </w:p>
    <w:tbl>
      <w:tblPr>
        <w:tblW w:type="dxa" w:w="9026"/>
        <w:jc w:val="left"/>
        <w:tblLayout w:type="fixed"/>
        <w:tblLook w:firstColumn="1" w:firstRow="1" w:lastColumn="0" w:lastRow="0" w:noHBand="0" w:noVBand="1" w:val="04A0"/>
        <w:tblInd w:type="dxa" w:w="120"/>
      </w:tblPr>
      <w:tblGrid>
        <w:gridCol w:w="9026"/>
      </w:tblGrid>
      <w:tr>
        <w:trPr>
          <w:cantSplit/>
        </w:trPr>
        <w:tc>
          <w:tcPr>
            <w:tcW w:type="dxa" w:w="9026"/>
            <w:shd w:fill="F8F6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spacing w:before="0"/>
            </w:pPr>
            <w:r>
              <w:rPr>
                <w:rFonts w:ascii="Calibri" w:hAnsi="Calibri"/>
                <w:b/>
                <w:color w:val="7A5A00"/>
                <w:sz w:val="21"/>
              </w:rPr>
              <w:t xml:space="preserve">PAGINA INFORMATIVA — RIMUOVERE PRIMA DELLA FIRMA. </w:t>
            </w:r>
            <w:r>
              <w:rPr>
                <w:rFonts w:ascii="Calibri" w:hAnsi="Calibri"/>
                <w:color w:val="20262E"/>
                <w:sz w:val="21"/>
              </w:rPr>
              <w:t>Il testo che segue riproduce il tipo ministeriale, ma non determina il canone, non seleziona le clausole applicabili e non certifica la conformità all'accordo territoriale del Comune.</w:t>
            </w:r>
          </w:p>
        </w:tc>
      </w:tr>
    </w:tbl>
    <w:p>
      <w:pPr>
        <w:pStyle w:val="Heading2"/>
      </w:pPr>
      <w:r>
        <w:t>Controlli prima dell'uso</w:t>
      </w:r>
    </w:p>
    <w:p>
      <w:pPr>
        <w:numPr>
          <w:ilvl w:val="0"/>
          <w:numId w:val="10"/>
        </w:numPr>
        <w:spacing w:after="80" w:line="300" w:lineRule="auto"/>
      </w:pPr>
      <w:r>
        <w:rPr>
          <w:rFonts w:ascii="Calibri" w:hAnsi="Calibri"/>
          <w:color w:val="20262E"/>
          <w:sz w:val="22"/>
        </w:rPr>
        <w:t>Individua l'accordo territoriale vigente per il Comune e la zona dell'immobile.</w:t>
      </w:r>
    </w:p>
    <w:p>
      <w:pPr>
        <w:numPr>
          <w:ilvl w:val="0"/>
          <w:numId w:val="10"/>
        </w:numPr>
        <w:spacing w:after="80" w:line="300" w:lineRule="auto"/>
      </w:pPr>
      <w:r>
        <w:rPr>
          <w:rFonts w:ascii="Calibri" w:hAnsi="Calibri"/>
          <w:color w:val="20262E"/>
          <w:sz w:val="22"/>
        </w:rPr>
        <w:t>Calcola il canone nella fascia corretta usando superficie, dotazioni e correttivi ammessi.</w:t>
      </w:r>
    </w:p>
    <w:p>
      <w:pPr>
        <w:numPr>
          <w:ilvl w:val="0"/>
          <w:numId w:val="10"/>
        </w:numPr>
        <w:spacing w:after="80" w:line="300" w:lineRule="auto"/>
      </w:pPr>
      <w:r>
        <w:rPr>
          <w:rFonts w:ascii="Calibri" w:hAnsi="Calibri"/>
          <w:color w:val="20262E"/>
          <w:sz w:val="22"/>
        </w:rPr>
        <w:t>Scegli e conserva soltanto le alternative pertinenti: intera unità o porzione, canone A o B, garanzie e oneri.</w:t>
      </w:r>
    </w:p>
    <w:p>
      <w:pPr>
        <w:numPr>
          <w:ilvl w:val="0"/>
          <w:numId w:val="10"/>
        </w:numPr>
        <w:spacing w:after="80" w:line="300" w:lineRule="auto"/>
      </w:pPr>
      <w:r>
        <w:rPr>
          <w:rFonts w:ascii="Calibri" w:hAnsi="Calibri"/>
          <w:color w:val="20262E"/>
          <w:sz w:val="22"/>
        </w:rPr>
        <w:t>Per un contratto non assistito, verifica il rilascio dell'attestazione di rispondenza quando richiesta dall'accordo e dalla normativa.</w:t>
      </w:r>
    </w:p>
    <w:p>
      <w:pPr>
        <w:numPr>
          <w:ilvl w:val="0"/>
          <w:numId w:val="10"/>
        </w:numPr>
        <w:spacing w:after="80" w:line="300" w:lineRule="auto"/>
      </w:pPr>
      <w:r>
        <w:rPr>
          <w:rFonts w:ascii="Calibri" w:hAnsi="Calibri"/>
          <w:color w:val="20262E"/>
          <w:sz w:val="22"/>
        </w:rPr>
        <w:t>Completa la clausola APE, gli allegati richiamati e la Tabella oneri accessori; registra il contratto entro 30 giorni.</w:t>
      </w:r>
    </w:p>
    <w:tbl>
      <w:tblPr>
        <w:tblW w:type="dxa" w:w="9026"/>
        <w:jc w:val="left"/>
        <w:tblLayout w:type="fixed"/>
        <w:tblLook w:firstColumn="1" w:firstRow="1" w:lastColumn="0" w:lastRow="0" w:noHBand="0" w:noVBand="1" w:val="04A0"/>
        <w:tblInd w:type="dxa" w:w="120"/>
      </w:tblPr>
      <w:tblGrid>
        <w:gridCol w:w="2121"/>
        <w:gridCol w:w="6905"/>
      </w:tblGrid>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Tipo</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Allegato A al DM 16 gennaio 2017</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Fonte</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DM 16 gennaio 2017, Allegati A-D</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Verifica normativa</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23 luglio 2026</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Versione file</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1.0</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Testo del 2017</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Le note e i richiami normativi sono mantenuti come nel tipo ufficiale; verificare gli adempimenti vigenti sul caso concreto.</w:t>
            </w:r>
          </w:p>
        </w:tc>
      </w:tr>
    </w:tbl>
    <w:p>
      <w:pPr>
        <w:pStyle w:val="Heading2"/>
      </w:pPr>
      <w:r>
        <w:t>Calcolo e attestazione</w:t>
      </w:r>
    </w:p>
    <w:p>
      <w:r>
        <w:t xml:space="preserve">Per verificare il canone e avviare l'attestazione di rispondenza usa il modulo dedicato: </w:t>
      </w:r>
      <w:hyperlink r:id="rId13">
        <w:r>
          <w:rPr>
            <w:rStyle w:val="Hyperlink"/>
            <w:color w:val="542CF2"/>
            <w:u w:val="single"/>
            <w:rFonts w:ascii="Calibri" w:hAnsi="Calibri"/>
            <w:sz w:val="21"/>
            <w:szCs w:val="21"/>
            <w:b/>
          </w:rPr>
          <w:t>modulo.concordatofacile.it</w:t>
        </w:r>
      </w:hyperlink>
    </w:p>
    <w:p>
      <w:pPr>
        <w:pStyle w:val="CFSmallNote"/>
      </w:pPr>
      <w:r>
        <w:t>Il download e la modifica del fac-simile sono gratuiti. La verifica del contratto e l'attestazione sono attività distinte.</w:t>
      </w:r>
    </w:p>
    <w:p>
      <w:pPr>
        <w:spacing w:before="0" w:after="0"/>
      </w:pPr>
      <w:r>
        <w:br w:type="page"/>
      </w:r>
    </w:p>
    <w:p>
      <w:pPr>
        <w:pStyle w:val="CFKicker"/>
        <w:jc w:val="center"/>
      </w:pPr>
      <w:r>
        <w:rPr>
          <w:rFonts w:ascii="Calibri" w:hAnsi="Calibri"/>
          <w:b/>
          <w:color w:val="5F6B7A"/>
          <w:sz w:val="19"/>
        </w:rPr>
        <w:t>ALLEGATO A</w:t>
      </w:r>
    </w:p>
    <w:p>
      <w:pPr>
        <w:pStyle w:val="Heading1"/>
        <w:jc w:val="center"/>
      </w:pPr>
      <w:r>
        <w:t>LOCAZIONE ABITATIVA</w:t>
      </w:r>
    </w:p>
    <w:p>
      <w:pPr>
        <w:spacing w:after="240"/>
        <w:jc w:val="center"/>
      </w:pPr>
      <w:r>
        <w:rPr>
          <w:rFonts w:ascii="Calibri" w:hAnsi="Calibri"/>
          <w:i/>
          <w:color w:val="5F6B7A"/>
          <w:sz w:val="18"/>
        </w:rPr>
        <w:t>(Legge 9 dicembre 1998, n. 431, articolo 2, comma 3)</w:t>
      </w:r>
    </w:p>
    <w:p>
      <w:pPr>
        <w:spacing w:line="259" w:lineRule="auto" w:after="80"/>
        <w:jc w:val="both"/>
      </w:pPr>
      <w:r>
        <w:rPr>
          <w:rFonts w:ascii="Calibri" w:hAnsi="Calibri"/>
          <w:color w:val="20262E"/>
          <w:sz w:val="18"/>
        </w:rPr>
        <w:t>Il/La sig./soc. (1) ………………………………………………………………….. di seguito denominato/a locatore (assistito/a da (2) ……………………………………… in persona di …………………………...) concede in locazione al/ alla sig. (1) ………………………………….. di seguito denominato/ a conduttore, identificato/ a mediante (3) …………………………………… (assistito/a da (2) ……………………..in persona di ……………………………………. ), che accetta, per sé e suoi aventi causa,</w:t>
      </w:r>
    </w:p>
    <w:p>
      <w:pPr>
        <w:spacing w:line="259" w:lineRule="auto" w:after="80"/>
        <w:jc w:val="both"/>
      </w:pPr>
      <w:r>
        <w:rPr>
          <w:rFonts w:ascii="Calibri" w:hAnsi="Calibri"/>
          <w:color w:val="20262E"/>
          <w:sz w:val="18"/>
        </w:rPr>
        <w:t>A) l’unità immobiliare posta in ………………………… via ………………………. n. ……. piano …… scala …… int. ….. composta di n. ……. vani, oltre cucina e servizi, e dotata altresì dei seguenti elementi accessori (indicare quali: soffitta, cantina, autorimessa singola, posto macchina in comune o meno, ecc.) ………………………………………………………………………………………………………… ……………………………………………………………………………………….………………... non ammobiliata / ammobiliata (4) come da elenco a parte sottoscritto dalle parti.</w:t>
      </w:r>
    </w:p>
    <w:p>
      <w:pPr>
        <w:spacing w:line="259" w:lineRule="auto" w:after="80"/>
        <w:jc w:val="both"/>
      </w:pPr>
      <w:r>
        <w:rPr>
          <w:rFonts w:ascii="Calibri" w:hAnsi="Calibri"/>
          <w:color w:val="20262E"/>
          <w:sz w:val="18"/>
        </w:rPr>
        <w:t>B) una porzione dell’unità immobiliare posta in ………………………… via ………………………. n. ……. piano …… scala …… int. ….. composta di n. ……. vani, oltre cucina e servizi, e dotata altresì dei seguenti elementi accessori (indicare quali: soffitta, cantina, autorimessa singola, posto macchina in comune o meno, ecc. ) il cui utilizzo è regolato nel seguente modo (5) …………………………………………………………………………………………… non ammobiliata / ammobiliata (4) come da elenco a parte sottoscritto dalle parti.</w:t>
      </w:r>
    </w:p>
    <w:p>
      <w:pPr>
        <w:spacing w:line="259" w:lineRule="auto" w:after="80"/>
        <w:jc w:val="both"/>
      </w:pPr>
      <w:r>
        <w:rPr>
          <w:rFonts w:ascii="Calibri" w:hAnsi="Calibri"/>
          <w:color w:val="20262E"/>
          <w:sz w:val="18"/>
        </w:rPr>
        <w:t>a) estremi catastali identificativi dell'unità immobiliare: ……………………………..……...……… b) prestazione energetica:……………………………………………………………………………. c) sicurezza impianti ………………………………………………………………………………..… d) tabelle millesimali: proprietà ……… riscaldamento …….… acqua …… altre …………………...</w:t>
      </w:r>
    </w:p>
    <w:p>
      <w:pPr>
        <w:spacing w:line="259" w:lineRule="auto" w:after="80"/>
        <w:jc w:val="both"/>
      </w:pPr>
      <w:r>
        <w:rPr>
          <w:rFonts w:ascii="Calibri" w:hAnsi="Calibri"/>
          <w:color w:val="20262E"/>
          <w:sz w:val="18"/>
        </w:rPr>
        <w:t>La locazione è regolata dalle pattuizioni seguenti.</w:t>
      </w:r>
    </w:p>
    <w:p>
      <w:pPr>
        <w:pStyle w:val="Heading2"/>
        <w:jc w:val="center"/>
      </w:pPr>
      <w:r>
        <w:t>Articolo 1 (Durata)</w:t>
      </w:r>
    </w:p>
    <w:p>
      <w:pPr>
        <w:spacing w:line="259" w:lineRule="auto" w:after="80"/>
        <w:jc w:val="both"/>
      </w:pPr>
      <w:r>
        <w:rPr>
          <w:rFonts w:ascii="Calibri" w:hAnsi="Calibri"/>
          <w:color w:val="20262E"/>
          <w:sz w:val="18"/>
        </w:rPr>
        <w:t>Il contratto è stipulato per la durata di ……………… anni (6), dal …………….. al ………………, e alla prima scadenza, ove le parti non concordino sul rinnovo del medesimo, il contratto è prorogato di diritto di due anni, fatta salva la facoltà di disdetta da parte del locatore che intenda adibire l'immobile agli usi o effettuare sullo stesso le opere di cui all'articolo 3 della legge n. 431/98, ovvero vendere l'immobile alle condizioni e con le modalità di cui al citato articolo 3. Alla scadenza del periodo di proroga biennale ciascuna parte ha diritto di attivare la procedura per il rinnovo a nuove condizioni ovvero per la rinuncia al rinnovo del contratto, comunicando la propria intenzione con lettera raccomandata da inviare all'altra parte almeno sei mesi prima della scadenza. In mancanza della comunicazione, il contratto è rinnovato tacitamente alle stesse condizioni. Nel caso in cui il locatore abbia riacquistato la disponibilità dell'alloggio alla prima scadenza e non lo adibisca, nel termine di dodici mesi dalla data in cui ha riacquistato tale disponibilità, agli usi per i quali ha esercitato la facoltà di disdetta, il conduttore ha diritto al ripristino del rapporto di locazione alle stesse condizioni di cui al contratto disdettato o, in alternativa, ad un risarcimento pari a trentasei mensilità dell'ultimo canone di locazione corrisposto.</w:t>
      </w:r>
    </w:p>
    <w:p>
      <w:pPr>
        <w:pStyle w:val="Heading2"/>
        <w:jc w:val="center"/>
      </w:pPr>
      <w:r>
        <w:t>Articolo 2 (Canone)</w:t>
      </w:r>
    </w:p>
    <w:p>
      <w:pPr>
        <w:spacing w:line="259" w:lineRule="auto" w:after="80"/>
        <w:jc w:val="both"/>
      </w:pPr>
      <w:r>
        <w:rPr>
          <w:rFonts w:ascii="Calibri" w:hAnsi="Calibri"/>
          <w:color w:val="20262E"/>
          <w:sz w:val="18"/>
        </w:rPr>
        <w:t>A. Il canone annuo di locazione, secondo quanto stabilito dall'Accordo territoriale tra ………………………………………………… e depositato il …………. presso il Comune di ………………………………………., ovvero dall’accordo integrativo sottoscritto tra ……(7) in data ……., è convenuto in euro ………………….., che il conduttore si obbliga a corrispondere nel domicilio del locatore ovvero a mezzo di bonifico bancario, ovvero………………………….., in n. ……… rate eguali anticipate di euro ……………… ciascuna, alle seguenti date: ………………………………………………... (4) Nel caso in cui l'Accordo territoriale di cui al presente punto lo preveda, il canone viene aggiornato ogni anno nella misura contrattata del ……………, che comunque non può superare il 75% della variazione Istat ed esclusivamente nel caso in cui il locatore non abbia optato per la “cedolare secca” per la durata dell’opzione. (8)</w:t>
      </w:r>
    </w:p>
    <w:p>
      <w:pPr>
        <w:spacing w:line="259" w:lineRule="auto" w:after="80"/>
        <w:jc w:val="both"/>
      </w:pPr>
      <w:r>
        <w:rPr>
          <w:rFonts w:ascii="Calibri" w:hAnsi="Calibri"/>
          <w:color w:val="20262E"/>
          <w:sz w:val="18"/>
        </w:rPr>
        <w:t>B. Il canone annuo di locazione, secondo quanto stabilito dal decreto di cui all'articolo 4, comma 3, della legge n. 431/1998, è convenuto in euro ………………………., importo che il conduttore si obbliga a corrispondere nel domicilio del locatore ovvero a mezzo di bonifico bancario, ovvero…………………………….., in n. ……… rate eguali anticipate di euro ……………………ciascuna, alle seguenti date ………………………………..…. (4) Nel caso in cui nel predetto decreto sia previsto, il canone è aggiornato annualmente nella misura contrattata del ……………,che comunque non può superare il 75% della variazione Istat ed esclusivamente nel caso in cui il locatore non abbia optato per la “cedolare secca” (8)</w:t>
      </w:r>
    </w:p>
    <w:p>
      <w:pPr>
        <w:pStyle w:val="Heading2"/>
        <w:jc w:val="center"/>
      </w:pPr>
      <w:r>
        <w:t>Articolo 3 (Deposito cauzionale e altre forme di garanzia)</w:t>
      </w:r>
    </w:p>
    <w:p>
      <w:pPr>
        <w:spacing w:line="259" w:lineRule="auto" w:after="80"/>
        <w:jc w:val="both"/>
      </w:pPr>
      <w:r>
        <w:rPr>
          <w:rFonts w:ascii="Calibri" w:hAnsi="Calibri"/>
          <w:color w:val="20262E"/>
          <w:sz w:val="18"/>
        </w:rPr>
        <w:t>A garanzia delle obbligazioni assunte col presente contratto, il conduttore versa/non versa (4) al locatore (che con la firma del contratto ne rilascia, in caso, quietanza) una somma di euro ……………………….. pari a ……..……. mensilità (9) del canone, non imputabile in conto canoni e produttiva di interessi legali, riconosciuti al conduttore al termine di ogni anno di locazione, salvo che la durata contrattuale minima non sia, ferma la proroga del contratto per due anni, di almeno 5 anni o superiore. Il deposito cauzionale così costituito viene reso al termine della locazione, previa verifica sia dello stato dell'unità immobiliare sia dell'osservanza di ogni obbligazione contrattuale. Eventuali altre forme di garanzia:.………… (10)</w:t>
      </w:r>
    </w:p>
    <w:p>
      <w:pPr>
        <w:pStyle w:val="Heading2"/>
        <w:jc w:val="center"/>
      </w:pPr>
      <w:r>
        <w:t>Articolo 4 (Oneri accessori)</w:t>
      </w:r>
    </w:p>
    <w:p>
      <w:pPr>
        <w:spacing w:line="259" w:lineRule="auto" w:after="80"/>
        <w:jc w:val="both"/>
      </w:pPr>
      <w:r>
        <w:rPr>
          <w:rFonts w:ascii="Calibri" w:hAnsi="Calibri"/>
          <w:color w:val="20262E"/>
          <w:sz w:val="18"/>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A. In sede di consuntivo, il pagamento degli oneri anzidetti, per la quota parte di quelli condominiali/comuni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 (11). Per le spese di cui al presente articolo il conduttore versa una quota di euro…………… salvo conguaglio (12).</w:t>
      </w:r>
    </w:p>
    <w:p>
      <w:pPr>
        <w:pStyle w:val="Heading2"/>
        <w:jc w:val="center"/>
      </w:pPr>
      <w:r>
        <w:t>Articolo 5 (Spese di bollo e di registrazione)</w:t>
      </w:r>
    </w:p>
    <w:p>
      <w:pPr>
        <w:spacing w:line="259" w:lineRule="auto" w:after="80"/>
        <w:jc w:val="both"/>
      </w:pPr>
      <w:r>
        <w:rPr>
          <w:rFonts w:ascii="Calibri" w:hAnsi="Calibri"/>
          <w:color w:val="20262E"/>
          <w:sz w:val="18"/>
        </w:rPr>
        <w:t>Le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legge 431 del 1998. Le parti possono delegare alla registrazione del contratto una delle organizzazioni sindacali che abbia prestato assistenza ai fini della stipula del contratto medesimo. (13)</w:t>
      </w:r>
    </w:p>
    <w:p>
      <w:pPr>
        <w:pStyle w:val="Heading2"/>
        <w:jc w:val="center"/>
      </w:pPr>
      <w:r>
        <w:t>Articolo 6 (Pagamento)</w:t>
      </w:r>
    </w:p>
    <w:p>
      <w:pPr>
        <w:spacing w:line="259" w:lineRule="auto" w:after="80"/>
        <w:jc w:val="both"/>
      </w:pPr>
      <w:r>
        <w:rPr>
          <w:rFonts w:ascii="Calibri" w:hAnsi="Calibri"/>
          <w:color w:val="20262E"/>
          <w:sz w:val="18"/>
        </w:rPr>
        <w:t>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27 luglio 1978, n. 392.</w:t>
      </w:r>
    </w:p>
    <w:p>
      <w:pPr>
        <w:pStyle w:val="Heading2"/>
        <w:jc w:val="center"/>
      </w:pPr>
      <w:r>
        <w:t>Articolo 7 (Uso)</w:t>
      </w:r>
    </w:p>
    <w:p>
      <w:pPr>
        <w:spacing w:line="259" w:lineRule="auto" w:after="80"/>
        <w:jc w:val="both"/>
      </w:pPr>
      <w:r>
        <w:rPr>
          <w:rFonts w:ascii="Calibri" w:hAnsi="Calibri"/>
          <w:color w:val="20262E"/>
          <w:sz w:val="18"/>
        </w:rPr>
        <w:t>L'immobile deve essere destinato esclusivamente a civile abitazione del conduttore e delle seguenti persone attualmente con lui conviventi ……………………………………..… Salvo espresso patto scritto contrario, è fatto divieto di sublocazione e di comodato sia totale sia parziale. Per la successione nel contratto si applica l'articolo 6 della legge n. 392/78, nel testo vigente a seguito della sentenza della Corte costituzionale n. 404/1988.</w:t>
      </w:r>
    </w:p>
    <w:p>
      <w:pPr>
        <w:pStyle w:val="Heading2"/>
        <w:jc w:val="center"/>
      </w:pPr>
      <w:r>
        <w:t>Articolo 8 (Recesso del conduttore)</w:t>
      </w:r>
    </w:p>
    <w:p>
      <w:pPr>
        <w:spacing w:line="259" w:lineRule="auto" w:after="80"/>
        <w:jc w:val="both"/>
      </w:pPr>
      <w:r>
        <w:rPr>
          <w:rFonts w:ascii="Calibri" w:hAnsi="Calibri"/>
          <w:color w:val="20262E"/>
          <w:sz w:val="18"/>
        </w:rPr>
        <w:t>E' facoltà del conduttore recedere dal contratto per gravi motivi, previo avviso da recapitarsi tramite lettera raccomandata almeno sei mesi prima.</w:t>
      </w:r>
    </w:p>
    <w:p>
      <w:pPr>
        <w:pStyle w:val="Heading2"/>
        <w:jc w:val="center"/>
      </w:pPr>
      <w:r>
        <w:t>Articolo 9 (Consegna)</w:t>
      </w:r>
    </w:p>
    <w:p>
      <w:pPr>
        <w:spacing w:line="259" w:lineRule="auto" w:after="80"/>
        <w:jc w:val="both"/>
      </w:pPr>
      <w:r>
        <w:rPr>
          <w:rFonts w:ascii="Calibri" w:hAnsi="Calibri"/>
          <w:color w:val="20262E"/>
          <w:sz w:val="18"/>
        </w:rPr>
        <w:t>Il conduttore dichiara di aver visitato l'unità immobiliare locatagli,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Le parti danno atto, in relazione allo stato dell'unità immobiliare, ai sensi dell'articolo 1590 del Codice civile di quanto segue: ………………………………………..……………………………………………………………… ……………………………… ovvero di quanto risulta dall'allegato verbale di consegna.</w:t>
      </w:r>
    </w:p>
    <w:p>
      <w:pPr>
        <w:pStyle w:val="Heading2"/>
        <w:jc w:val="center"/>
      </w:pPr>
      <w:r>
        <w:t>Articolo 10 (Modifiche e danni)</w:t>
      </w:r>
    </w:p>
    <w:p>
      <w:pPr>
        <w:spacing w:line="259" w:lineRule="auto" w:after="80"/>
        <w:jc w:val="both"/>
      </w:pPr>
      <w:r>
        <w:rPr>
          <w:rFonts w:ascii="Calibri" w:hAnsi="Calibri"/>
          <w:color w:val="20262E"/>
          <w:sz w:val="18"/>
        </w:rPr>
        <w:t>Il conduttore non può apportare alcuna modifica, innovazione, miglioria o addizione ai locali locati ed alla loro destinazione, o agli impianti esistenti, senza il preventivo consenso scritto del locatore. Il conduttore esonera espressamente il locatore da ogni responsabilità per danni diretti o indiretti che possano derivargli da fatti dei dipendenti del locatore medesimo nonché per interruzioni incolpevoli dei servizi.</w:t>
      </w:r>
    </w:p>
    <w:p>
      <w:pPr>
        <w:pStyle w:val="Heading2"/>
        <w:jc w:val="center"/>
      </w:pPr>
      <w:r>
        <w:t>Articolo 11 (Assemblee)</w:t>
      </w:r>
    </w:p>
    <w:p>
      <w:pPr>
        <w:spacing w:line="259" w:lineRule="auto" w:after="80"/>
        <w:jc w:val="both"/>
      </w:pPr>
      <w:r>
        <w:rPr>
          <w:rFonts w:ascii="Calibri" w:hAnsi="Calibri"/>
          <w:color w:val="20262E"/>
          <w:sz w:val="18"/>
        </w:rPr>
        <w:t>Il conduttore ha diritto di voto, in luogo del proprietario dell'unità immobiliare locatagli, nelle deliberazioni dell'assemblea condominiale relative alle spese ed alle modalità di gestione dei servizi di riscaldamento e di condizionamento d'aria. Ha inoltre diritto di intervenire, senza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w:t>
      </w:r>
    </w:p>
    <w:p>
      <w:pPr>
        <w:pStyle w:val="Heading2"/>
        <w:jc w:val="center"/>
      </w:pPr>
      <w:r>
        <w:t>Articolo 12 (Impianti)</w:t>
      </w:r>
    </w:p>
    <w:p>
      <w:pPr>
        <w:spacing w:line="259" w:lineRule="auto" w:after="80"/>
        <w:jc w:val="both"/>
      </w:pPr>
      <w:r>
        <w:rPr>
          <w:rFonts w:ascii="Calibri" w:hAnsi="Calibri"/>
          <w:color w:val="20262E"/>
          <w:sz w:val="18"/>
        </w:rPr>
        <w:t>Il conduttore - in caso d'installazione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 Per quanto attiene all'impianto termico autonomo, ove presente, ai sensi della normativa del d.lgs n. 192/05, con particolare riferimento all’art. 7 comma 1, il conduttore subentra per la durata della detenzione alla figura del proprietario nell’onere di adempiere alle operazioni di controllo e di manutenzione.</w:t>
      </w:r>
    </w:p>
    <w:p>
      <w:pPr>
        <w:pStyle w:val="Heading2"/>
        <w:jc w:val="center"/>
      </w:pPr>
      <w:r>
        <w:t>Articolo 13 (Accesso)</w:t>
      </w:r>
    </w:p>
    <w:p>
      <w:pPr>
        <w:spacing w:line="259" w:lineRule="auto" w:after="80"/>
        <w:jc w:val="both"/>
      </w:pPr>
      <w:r>
        <w:rPr>
          <w:rFonts w:ascii="Calibri" w:hAnsi="Calibri"/>
          <w:color w:val="20262E"/>
          <w:sz w:val="18"/>
        </w:rPr>
        <w:t>Il conduttore deve consentire l'accesso all'unità immobiliare al locatore, al suo amministratore nonché ai loro incaricati ove gli stessi ne abbiano - motivandola - ragione. Nel caso in cui il locatore intenda vendere o, in caso di recesso anticipato del conduttore, locare l'unità immobiliare, questi deve consentirne la visita una volta la settimana, per almeno due ore, con esclusione dei giorni festivi oppure con le seguenti modalità: ……………………………………….……………………………………………..……………….... …………………………………………………………………………………………………………</w:t>
      </w:r>
    </w:p>
    <w:p>
      <w:pPr>
        <w:pStyle w:val="Heading2"/>
        <w:jc w:val="center"/>
      </w:pPr>
      <w:r>
        <w:t>Articolo 14 (Commissione di negoziazione paritetica e conciliazione stragiudiziale)</w:t>
      </w:r>
    </w:p>
    <w:p>
      <w:pPr>
        <w:spacing w:line="259" w:lineRule="auto" w:after="80"/>
        <w:jc w:val="both"/>
      </w:pPr>
      <w:r>
        <w:rPr>
          <w:rFonts w:ascii="Calibri" w:hAnsi="Calibri"/>
          <w:color w:val="20262E"/>
          <w:sz w:val="18"/>
        </w:rPr>
        <w:t>La Commissione di cui all’articolo 6 del decreto del Ministro delle infrastrutture e dei trasporti di concerto con il Ministro dell’economia e delle finanze, emanato ai sensi dell’articolo 4, comma 2, della legge 431 del 1998, è composta da due membri scelti fra appartenenti alle rispettive organizzazioni firmatarie dell'Accordo territoriale sulla base delle designazioni, rispettivamente, del locatore e del conduttore. L’operato della Commissione è disciplinato dal documento “Procedure di negoziazione e conciliazione stragiudiziale nonché modalità di funzionamento della Commissione”, Allegato E al citato decreto. La richiesta di intervento della Commissione non determina la sospensione delle obbligazioni contrattuali. La richiesta di attivazione della Commissione non comporta oneri.</w:t>
      </w:r>
    </w:p>
    <w:p>
      <w:pPr>
        <w:pStyle w:val="Heading2"/>
        <w:jc w:val="center"/>
      </w:pPr>
      <w:r>
        <w:t>Articolo 15 (Varie)</w:t>
      </w:r>
    </w:p>
    <w:p>
      <w:pPr>
        <w:spacing w:line="259" w:lineRule="auto" w:after="80"/>
        <w:jc w:val="both"/>
      </w:pPr>
      <w:r>
        <w:rPr>
          <w:rFonts w:ascii="Calibri" w:hAnsi="Calibri"/>
          <w:color w:val="20262E"/>
          <w:sz w:val="18"/>
        </w:rPr>
        <w:t>A tutti gli effetti del presente contratto, compresa la notifica degli atti esecutivi, e ai fini della competenza a giudicare, il conduttore elegge domicilio nei locali a lui locati e, ove egli più non li occupi o comunque detenga, presso l'ufficio di segreteria del Comune ove è situato l'immobile locato. Qualunque modifica al presente contratto non può aver luogo, e non può essere provata, se non con atto scritto. Il locatore ed il conduttore si autorizzano reciprocamente a comunicare a terzi i propri dati personali in relazione ad adempimenti connessi col rapporto di locazione (d.lgs n. 196/03). Per quanto non previsto dal presente contratto le parti rinviano a quanto in materia disposto dal Codice civile, dalle leggi n. 392/1978 e n. 431 del 1998 o comunque dalle norme vigenti e dagli usi locali nonché alla normativa ministeriale emanata in applicazione della legge n. 431 del 1998 ed all'Accordo definito in sede locale.</w:t>
      </w:r>
    </w:p>
    <w:p>
      <w:pPr>
        <w:spacing w:line="259" w:lineRule="auto" w:after="80"/>
        <w:jc w:val="both"/>
      </w:pPr>
      <w:r>
        <w:rPr>
          <w:rFonts w:ascii="Calibri" w:hAnsi="Calibri"/>
          <w:color w:val="20262E"/>
          <w:sz w:val="18"/>
        </w:rPr>
        <w:t>Altre clausole: ………………………………………………………………………………….. …………………………………………………………………………………………………..</w:t>
      </w:r>
    </w:p>
    <w:p>
      <w:pPr>
        <w:spacing w:line="259" w:lineRule="auto" w:after="80"/>
        <w:jc w:val="both"/>
      </w:pPr>
      <w:r>
        <w:rPr>
          <w:rFonts w:ascii="Calibri" w:hAnsi="Calibri"/>
          <w:color w:val="20262E"/>
          <w:sz w:val="18"/>
        </w:rPr>
        <w:t>Letto, approvato e sottoscritto</w:t>
      </w:r>
    </w:p>
    <w:p>
      <w:pPr>
        <w:spacing w:line="259" w:lineRule="auto" w:after="80"/>
        <w:jc w:val="both"/>
      </w:pPr>
      <w:r>
        <w:rPr>
          <w:rFonts w:ascii="Calibri" w:hAnsi="Calibri"/>
          <w:color w:val="20262E"/>
          <w:sz w:val="18"/>
        </w:rPr>
        <w:t>…………………………..., lì, ……………….</w:t>
      </w:r>
    </w:p>
    <w:p>
      <w:pPr>
        <w:spacing w:line="259" w:lineRule="auto" w:after="80"/>
        <w:jc w:val="both"/>
      </w:pPr>
      <w:r>
        <w:rPr>
          <w:rFonts w:ascii="Calibri" w:hAnsi="Calibri"/>
          <w:color w:val="20262E"/>
          <w:sz w:val="18"/>
        </w:rPr>
        <w:t>Il locatore ……………………………………</w:t>
      </w:r>
    </w:p>
    <w:p>
      <w:pPr>
        <w:spacing w:line="259" w:lineRule="auto" w:after="80"/>
        <w:jc w:val="both"/>
      </w:pPr>
      <w:r>
        <w:rPr>
          <w:rFonts w:ascii="Calibri" w:hAnsi="Calibri"/>
          <w:color w:val="20262E"/>
          <w:sz w:val="18"/>
        </w:rPr>
        <w:t>Il conduttore …………………………………</w:t>
      </w:r>
    </w:p>
    <w:p>
      <w:pPr>
        <w:spacing w:line="259" w:lineRule="auto" w:after="80"/>
        <w:jc w:val="both"/>
      </w:pPr>
      <w:r>
        <w:rPr>
          <w:rFonts w:ascii="Calibri" w:hAnsi="Calibri"/>
          <w:color w:val="20262E"/>
          <w:sz w:val="18"/>
        </w:rPr>
        <w:t>A mente degli articoli 1341 e 1342 del codice civile, le parti specificamente approvano i patti di cui agli articoli 3 (Deposito cauzionale e altre forme di garanzia), 4 (Oneri accessori), 6 (Pagamento, risoluzione), 9 (Consegna), 10 (Modifiche e danni), 12 (Impianti), 13 (Accesso), 14 (Commissione di negoziazione paritetica e conciliazione stragiudiziale) e 15 (Varie) del presente contratto.</w:t>
      </w:r>
    </w:p>
    <w:p>
      <w:pPr>
        <w:spacing w:line="259" w:lineRule="auto" w:after="80"/>
        <w:jc w:val="both"/>
      </w:pPr>
      <w:r>
        <w:rPr>
          <w:rFonts w:ascii="Calibri" w:hAnsi="Calibri"/>
          <w:color w:val="20262E"/>
          <w:sz w:val="18"/>
        </w:rPr>
        <w:t>Il locatore ……………………………………</w:t>
      </w:r>
    </w:p>
    <w:p>
      <w:pPr>
        <w:spacing w:line="259" w:lineRule="auto" w:after="80"/>
        <w:jc w:val="both"/>
      </w:pPr>
      <w:r>
        <w:rPr>
          <w:rFonts w:ascii="Calibri" w:hAnsi="Calibri"/>
          <w:color w:val="20262E"/>
          <w:sz w:val="18"/>
        </w:rPr>
        <w:t>Il conduttore …………………………………</w:t>
      </w:r>
    </w:p>
    <w:p>
      <w:pPr>
        <w:pStyle w:val="Heading1"/>
        <w:pageBreakBefore/>
      </w:pPr>
      <w:r>
        <w:t>Note al tipo ministeriale</w:t>
      </w:r>
    </w:p>
    <w:p>
      <w:pPr>
        <w:pStyle w:val="CFSmallNote"/>
        <w:spacing w:line="252" w:lineRule="auto" w:after="60"/>
        <w:jc w:val="both"/>
      </w:pPr>
      <w:r>
        <w:rPr>
          <w:rFonts w:ascii="Calibri" w:hAnsi="Calibri"/>
          <w:color w:val="5F6B7A"/>
          <w:sz w:val="16"/>
        </w:rPr>
        <w:t>(1) Per le persone fisiche, riportare: nome e cognome; luogo e data di nascita; domicilio e codice fiscale. Se il contratto è cointestato a più persone riportare i dati anagrafici e fiscali di tutti. Per le persone giuridiche, indicare: ragione sociale, sede, codice fiscale, partita IVA, numero d'iscrizione al Tribunale; nonché nome, cognome, luogo e data di nascita del legale rappresentante.</w:t>
      </w:r>
    </w:p>
    <w:p>
      <w:pPr>
        <w:pStyle w:val="CFSmallNote"/>
        <w:spacing w:line="252" w:lineRule="auto" w:after="60"/>
        <w:jc w:val="both"/>
      </w:pPr>
      <w:r>
        <w:rPr>
          <w:rFonts w:ascii="Calibri" w:hAnsi="Calibri"/>
          <w:color w:val="5F6B7A"/>
          <w:sz w:val="16"/>
        </w:rPr>
        <w:t>(2) L'assistenza è facoltativa.</w:t>
      </w:r>
    </w:p>
    <w:p>
      <w:pPr>
        <w:pStyle w:val="CFSmallNote"/>
        <w:spacing w:line="252" w:lineRule="auto" w:after="60"/>
        <w:jc w:val="both"/>
      </w:pPr>
      <w:r>
        <w:rPr>
          <w:rFonts w:ascii="Calibri" w:hAnsi="Calibri"/>
          <w:color w:val="5F6B7A"/>
          <w:sz w:val="16"/>
        </w:rPr>
        <w:t>(3) Documento di riconoscimento: tipo ed estremi. Nel caso in cui il conduttore sia cittadino extracomunitario, deve essere data comunicazione all'autorità di P.S., ai sensi dell'articolo 7 del decreto legislativo n. 286/98.</w:t>
      </w:r>
    </w:p>
    <w:p>
      <w:pPr>
        <w:pStyle w:val="CFSmallNote"/>
        <w:spacing w:line="252" w:lineRule="auto" w:after="60"/>
        <w:jc w:val="both"/>
      </w:pPr>
      <w:r>
        <w:rPr>
          <w:rFonts w:ascii="Calibri" w:hAnsi="Calibri"/>
          <w:color w:val="5F6B7A"/>
          <w:sz w:val="16"/>
        </w:rPr>
        <w:t>(4) Cancellare la parte che non interessa.</w:t>
      </w:r>
    </w:p>
    <w:p>
      <w:pPr>
        <w:pStyle w:val="CFSmallNote"/>
        <w:spacing w:line="252" w:lineRule="auto" w:after="60"/>
        <w:jc w:val="both"/>
      </w:pPr>
      <w:r>
        <w:rPr>
          <w:rFonts w:ascii="Calibri" w:hAnsi="Calibri"/>
          <w:color w:val="5F6B7A"/>
          <w:sz w:val="16"/>
        </w:rPr>
        <w:t>(5) Descrivere la porzione locata. Precisare altresì che il conduttore avrà l’uso condiviso di servizi e spazi comuni, che il locatore si riserva la residua porzione con facoltà di locarla e che il canone di cui all’art. 2 è stato imputato in proporzione alla sua superficie.</w:t>
      </w:r>
    </w:p>
    <w:p>
      <w:pPr>
        <w:pStyle w:val="CFSmallNote"/>
        <w:spacing w:line="252" w:lineRule="auto" w:after="60"/>
        <w:jc w:val="both"/>
      </w:pPr>
      <w:r>
        <w:rPr>
          <w:rFonts w:ascii="Calibri" w:hAnsi="Calibri"/>
          <w:color w:val="5F6B7A"/>
          <w:sz w:val="16"/>
        </w:rPr>
        <w:t>(6) La durata minima è di anni tre.</w:t>
      </w:r>
    </w:p>
    <w:p>
      <w:pPr>
        <w:pStyle w:val="CFSmallNote"/>
        <w:spacing w:line="252" w:lineRule="auto" w:after="60"/>
        <w:jc w:val="both"/>
      </w:pPr>
      <w:r>
        <w:rPr>
          <w:rFonts w:ascii="Calibri" w:hAnsi="Calibri"/>
          <w:color w:val="5F6B7A"/>
          <w:sz w:val="16"/>
        </w:rPr>
        <w:t>(7) Indicare i soggetti sottoscrittori dell’Accordo integrativo (Proprietà, Gestore, Cooperativa, Impresa di costruzione, Comune, Associazioni della proprietà edilizia e Organizzazioni dei conduttori).</w:t>
      </w:r>
    </w:p>
    <w:p>
      <w:pPr>
        <w:pStyle w:val="CFSmallNote"/>
        <w:spacing w:line="252" w:lineRule="auto" w:after="60"/>
        <w:jc w:val="both"/>
      </w:pPr>
      <w:r>
        <w:rPr>
          <w:rFonts w:ascii="Calibri" w:hAnsi="Calibri"/>
          <w:color w:val="5F6B7A"/>
          <w:sz w:val="16"/>
        </w:rPr>
        <w:t>(8) Nel caso in cui il locatore opti per l’applicazione della cedolare secca, è sospesa, per un periodo di tempo corrispondente alla durata dell’opzione, la facoltà di richiedere l’aggiornamento del canone, anche se prevista nel contratto a qualsiasi titolo, inclusa la variazione accertata dall’Istat dell’indice nazionale dei prezzi al consumo per le famiglie di operai e impiegati verificatasi nell’anno precedente. L’applicazione della cedolare secca è sostitutiva dell’IRPEF e delle relative addizionali, nonché delle imposte di bollo e registro, ivi comprese quelle sulla risoluzione e sulle proroghe del contratto.</w:t>
      </w:r>
    </w:p>
    <w:p>
      <w:pPr>
        <w:pStyle w:val="CFSmallNote"/>
        <w:spacing w:line="252" w:lineRule="auto" w:after="60"/>
        <w:jc w:val="both"/>
      </w:pPr>
      <w:r>
        <w:rPr>
          <w:rFonts w:ascii="Calibri" w:hAnsi="Calibri"/>
          <w:color w:val="5F6B7A"/>
          <w:sz w:val="16"/>
        </w:rPr>
        <w:t>(9) Massimo tre mensilità.</w:t>
      </w:r>
    </w:p>
    <w:p>
      <w:pPr>
        <w:pStyle w:val="CFSmallNote"/>
        <w:spacing w:line="252" w:lineRule="auto" w:after="60"/>
        <w:jc w:val="both"/>
      </w:pPr>
      <w:r>
        <w:rPr>
          <w:rFonts w:ascii="Calibri" w:hAnsi="Calibri"/>
          <w:color w:val="5F6B7A"/>
          <w:sz w:val="16"/>
        </w:rPr>
        <w:t>(10) Indicare fidejussione bancaria o assicurativa, garanzia di terzi o altro</w:t>
      </w:r>
    </w:p>
    <w:p>
      <w:pPr>
        <w:pStyle w:val="CFSmallNote"/>
        <w:spacing w:line="252" w:lineRule="auto" w:after="60"/>
        <w:jc w:val="both"/>
      </w:pPr>
      <w:r>
        <w:rPr>
          <w:rFonts w:ascii="Calibri" w:hAnsi="Calibri"/>
          <w:color w:val="5F6B7A"/>
          <w:sz w:val="16"/>
        </w:rPr>
        <w:t>(11) Per le proprietà di cui all’art. 1 commi 5 e 6 del DM Ministro delle Infrastrutture e dei trasporti ex art. 4 comma 2 della Legge 431/98, e comunque per gli immobili posti in edifici non condominiali, utilizzare la seguente formulazione, sostitutiva dell’intero articolo:</w:t>
      </w:r>
    </w:p>
    <w:p>
      <w:pPr>
        <w:pStyle w:val="CFSmallNote"/>
        <w:spacing w:line="252" w:lineRule="auto" w:after="60"/>
        <w:jc w:val="both"/>
      </w:pPr>
      <w:r>
        <w:rPr>
          <w:rFonts w:ascii="Calibri" w:hAnsi="Calibri"/>
          <w:color w:val="5F6B7A"/>
          <w:sz w:val="16"/>
        </w:rPr>
        <w:t>Sono a carico del conduttore, per le quote di competenza esposte all’articolo 4, le spese che in base alla Tabella oneri accessori, allegato D al decreto emanato dal Ministro delle infrastrutture e dei trasporti di concerto con il Ministro dell’economia e delle finanze ai sensi dell’articolo 4, comma 2 della legge n. 431/98 - e di cui il presente contratto costituisce l’allegato A - risultano a carico dello stesso. Di tale Tabella la locatrice e il conduttore dichiarano di aver avuto piena conoscenza. In sede di consuntivo, il pagamento degli oneri anzidetti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 non superiore a quella di sua spettanza risultante dal consuntivo dell'anno precedente. La locatrice dichiara che la quota di partecipazione dell'unità immobiliare locata e delle relative pertinenze al godimento delle parti e dei servizi comuni è determinata nelle misure di seguito riportate, che il conduttore approva ed espressamente accetta, in particolare per quanto concerne il riparto delle relative spese: a) spese generali ……………………………. b) spese ascensore …………………………. c) spese riscaldamento ……………………... d) spese condizionamento …………………. e) ………………………………………… f) ………………………………………….… g) …………………………………………… La locatrice, esclusivamente in caso di interventi edilizi autorizzati o di variazioni catastali o di mutamento nel regime di utilizzazione delle unità immobiliari o di interventi comportanti modifiche agli impianti, si riserva il diritto di adeguare le quote di ripartizione delle spese predette, dandone comunicazione tempestiva e motivata al conduttore. Le nuove quote, così determinate, vengono applicate a decorrere dall'esercizio successivo a quello della variazione intervenuta. In caso di disaccordo con quanto stabilito dalla locatrice, il conduttore può adire la Commissione di negoziazione paritetica di cui all’articolo 6 del decreto emanato dal Ministro delle infrastrutture e dei trasporti di concerto con il Ministro dell’economia e delle finanze ai sensi dell’articolo 4, comma 2, della legge 431/98, e costituita con le modalità indicate all’articolo 14 del presente contratto. Sono interamente a carico del conduttore i costi sostenuti dalla locatrice per la fornitura dei servizi di riscaldamento/raffrescamento/condizionamento dei quali l'immobile risulti dotato, secondo quanto previsto dalla Tabella di cui al presente articolo. Il conduttore è tenuto al rimborso di tali costi, per la quota di sua competenza. Il conduttore è tenuto a corrispondere, a titolo di acconto, alla locatrice, per le spese che quest'ultima sosterrà per tali servizi, una somma minima pari a quella risultante dal consuntivo precedente. E' in facoltà della locatrice richiedere, a titolo di acconto, un maggior importo in funzione di documentate variazioni intervenute nel costo dei servizi, salvo conguaglio, che deve essere versato entro sessanta giorni dalla richiesta della locatrice, fermo quanto previsto al riguardo dall'articolo 9 della legge n. 392/78. Resta altresì salvo quanto previsto dall'articolo 10 di detta legge. Per la prima annualità, a titolo di acconto, tale somma da versare è di euro ………………….., da corrispondere in ………….rate alle seguenti scadenze: al ………………….euro …………………………………………………… al ………………….euro …………………………………………………… al ………………….euro …………………………………………………...</w:t>
      </w:r>
    </w:p>
    <w:p>
      <w:pPr>
        <w:pStyle w:val="CFSmallNote"/>
        <w:spacing w:line="252" w:lineRule="auto" w:after="60"/>
        <w:jc w:val="both"/>
      </w:pPr>
      <w:r>
        <w:rPr>
          <w:rFonts w:ascii="Calibri" w:hAnsi="Calibri"/>
          <w:color w:val="5F6B7A"/>
          <w:sz w:val="16"/>
        </w:rPr>
        <w:t>al ………………… euro ………………………………………………….., salvo conguaglio.</w:t>
      </w:r>
    </w:p>
    <w:p>
      <w:pPr>
        <w:pStyle w:val="CFSmallNote"/>
        <w:spacing w:line="252" w:lineRule="auto" w:after="60"/>
        <w:jc w:val="both"/>
      </w:pPr>
      <w:r>
        <w:rPr>
          <w:rFonts w:ascii="Calibri" w:hAnsi="Calibri"/>
          <w:color w:val="5F6B7A"/>
          <w:sz w:val="16"/>
        </w:rPr>
        <w:t>(12) Indicare: mensile, bimestrale, trimestrale, ecc.</w:t>
      </w:r>
    </w:p>
    <w:p>
      <w:pPr>
        <w:pStyle w:val="CFSmallNote"/>
        <w:spacing w:line="252" w:lineRule="auto" w:after="60"/>
        <w:jc w:val="both"/>
      </w:pPr>
      <w:r>
        <w:rPr>
          <w:rFonts w:ascii="Calibri" w:hAnsi="Calibri"/>
          <w:color w:val="5F6B7A"/>
          <w:sz w:val="16"/>
        </w:rPr>
        <w:t>(13) Nel caso in cui il locatore opti per l’applicazione della cedolare secca non sono dovute imposte di bollo e registro, ivi compresa quella sulla risoluzione.</w:t>
      </w:r>
    </w:p>
    <w:p>
      <w:pPr>
        <w:pStyle w:val="Heading1"/>
      </w:pPr>
      <w:r>
        <w:t>Allegato D — Tabella oneri accessori</w:t>
      </w:r>
    </w:p>
    <w:p>
      <w:pPr>
        <w:pStyle w:val="CFSmallNote"/>
      </w:pPr>
      <w:r>
        <w:t>Ripartizione ministeriale fra locatore (L) e conduttore (C). Le percentuali sono indicate dove previste dal testo ufficiale.</w:t>
      </w:r>
    </w:p>
    <w:p>
      <w:pPr>
        <w:pStyle w:val="Heading2"/>
      </w:pPr>
      <w:r>
        <w:t>ASCENSORE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e piccole riparazioni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manutenzione straordinaria degli impianti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Adeguamento alle nuove disposizioni di legge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Consumi energia elettrica per forza motrice e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Ispezioni e collaudi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AUTOCLAVE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integrale dell'impianto o di componenti primari (pompa, serbatoio, elemento rotante, avvolgimento elettrico ecc.)</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Imposte e tasse di impianto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Forza motrice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Ricarico pressione del serbatoio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Ispezioni, collaudi e lettura contatori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DI ILLUMINAZIONE, DI VIDEOCITOFONO, DI VIDEOSORVEGLIANZA E SPECIALI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dell'impianto comune di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comune di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degli impianti di suoneria e allarme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degli impianti di suoneria e allarme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dei citofoni e videocitofoni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citofoni e videocitofoni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impianti speciali di allarme, sicurezza e simili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impianti speciali di allarme, sicurezza e simili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impianti di videosorveglianza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impianti di videosorveglianza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DI RISCALDAMENTO, CONDIZIONAMENTO, PRODUZIONE ACQUA CALDA, ADDOLCIMENTO ACQUA</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degli impianti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Adeguamento degli impianti a leggi e regolamenti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degli impianti, compreso il rivestimento refrattario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Pulizia annuale degli impianti e dei filtri e messa a riposo stagionale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Lettura dei contatori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combustibile, consumi di forza motrice, energia elettrica e acqua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SPORTIVI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manutenzione straordinaria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Addetti (bagnini, pulitori, manutentori ordinari ecc.)</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Consumo di acqua per pulizia e depurazione; acquisto di materiale per la manutenzione ordinaria (es.: terra rossa)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IMPIANTO ANTINCENDIO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dell'impianto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Acquisti degli estintori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Ricarica degli estintori, ispezioni e collaudi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IMPIANTO TELEVISIVO CENTRALIZZATO E DI RICEZIONE DATI INFORMATIVI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sostituzione o potenziamento dell'impianto televisivo centralizzato e per l'accesso a qualunque altro genere di dato informativo anche via cavo o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televisivo centralizzato e per l'accesso a qualunque altro genere di dato informativo anche via cavo o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PARTI COMUNI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grondaie, sifoni e colonne di scarico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grondaie, sifoni e colonne di scarico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di tetti e lastrici solari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tetti e dei lastrici solari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della rete di fognatura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della rete di fognatura, compresa la disotturazione dei condotti e pozzetti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marmi, corrimano, ringhiere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pareti, corrimano, ringhiere di scale e locali comuni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Consumo di acqua ed energia elettrica per le parti comuni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serrature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delle aree verdi, compresa la riparazione degli attrezzi utilizzati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di attrezzature quali caselle postali, cartelli segnalatori, bidoni, armadietti per contatori, zerbini, tappeti, guide e altro materiale di arredo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attrezzature quali caselle postali, cartelli segnalatori, bidoni, armadietti per contatori, zerbini, tappeti, guide e altro materiale di arredo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occupazione suolo pubblico per passo carrabile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occupazione suolo pubblico per lavori condominiali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PARTI INTERNE ALL'APPARTAMENTO LOCATO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integrale di pavimenti e rivestimenti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pavimenti e rivestimenti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infissi e serrande, degli impianti di riscaldamento e sanitario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Rifacimento di chiavi e serrature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Tinteggiatura di pareti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vetri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apparecchi e condutture di elettricità, del cavo, dell'impianto citofonico e videocitofonico e dell'impianto individuale di videosorveglianza, per la ricezione radiotelevisiva e per l'accesso a qualunque altro genere di dato informativo anche via cavo e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Verniciatura di opere in legno e metallo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di riscaldamento e condizionamento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dell'impianto di riscaldamento e condizionamento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PORTIERATO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Trattamento economico del portiere e del sostituto, compresi contributi previdenziali e assicurativi, accantonamento liquidazione, tredicesima, premi, ferie e indennità varie, anche locali, come da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Materiale per le pulizie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Indennità sostitutiva alloggio portiere prevista nel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della guardiola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della guardiola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PULIZIA</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l'assunzione dell'addetto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Trattamento economico dell'addetto, compresi contributi previdenziali e assicurativi, accantonamento liquidazione, tredicesima, premi, ferie e indennità varie, anche locali, come da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il conferimento dell'appalto a ditta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le pulizie appaltate a ditta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Materiale per le pulizie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e sostituzione macchinari per la pulizia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macchinari per la pulizia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Derattizzazione e disinfestazione dei locali legati alla raccolta delle immondizie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Disinfestazione di bidoni e contenitori di rifiuti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rifiuti o tariffa sostitutiva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di bidoni, trespoli e contenitori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Sacchi per la preraccolta dei rifiuti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SGOMBERO NEVE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relative al servizio, compresi i materiali d'uso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CFSmallNote"/>
      </w:pPr>
      <w:r>
        <w:t>Legenda: L = locatore · C = conduttore.</w:t>
      </w:r>
    </w:p>
    <w:sectPr>
      <w:headerReference w:type="even" r:id="rId9"/>
      <w:footerReference w:type="even" r:id="rId10"/>
      <w:headerReference w:type="default" r:id="rId11"/>
      <w:footerReference w:type="default" r:id="rId1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026" w:val="right"/>
      </w:tabs>
      <w:spacing w:before="0" w:after="0"/>
      <w:pBdr>
        <w:top w:val="single" w:sz="5" w:space="4" w:color="CBC2F5"/>
      </w:pBdr>
    </w:pPr>
    <w:r>
      <w:rPr>
        <w:rFonts w:ascii="Calibri" w:hAnsi="Calibri"/>
        <w:color w:val="5F6B7A"/>
        <w:sz w:val="17"/>
      </w:rPr>
      <w:t xml:space="preserve">Pagina </w:t>
    </w:r>
    <w:r>
      <w:rPr>
        <w:rFonts w:ascii="Calibri" w:hAnsi="Calibri"/>
        <w:color w:val="5F6B7A"/>
        <w:sz w:val="17"/>
      </w:rPr>
      <w:fldChar w:fldCharType="begin"/>
      <w:instrText xml:space="preserve"> PAGE </w:instrText>
      <w:fldChar w:fldCharType="separate"/>
      <w:t>1</w:t>
      <w:fldChar w:fldCharType="end"/>
    </w:r>
    <w:r>
      <w:rPr>
        <w:rFonts w:ascii="Calibri" w:hAnsi="Calibri"/>
        <w:color w:val="5F6B7A"/>
        <w:sz w:val="17"/>
      </w:rPr>
      <w:tab/>
      <w:t>Tipo ministeriale | Adattamento locale necessario</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026" w:val="right"/>
      </w:tabs>
      <w:spacing w:before="0" w:after="0"/>
      <w:pBdr>
        <w:top w:val="single" w:sz="5" w:space="4" w:color="CBC2F5"/>
      </w:pBdr>
    </w:pPr>
    <w:r>
      <w:rPr>
        <w:rFonts w:ascii="Calibri" w:hAnsi="Calibri"/>
        <w:color w:val="5F6B7A"/>
        <w:sz w:val="17"/>
      </w:rPr>
      <w:t>Tipo ministeriale | Adattamento locale necessario</w:t>
    </w:r>
    <w:r>
      <w:rPr>
        <w:rFonts w:ascii="Calibri" w:hAnsi="Calibri"/>
        <w:color w:val="5F6B7A"/>
        <w:sz w:val="17"/>
      </w:rPr>
      <w:tab/>
      <w:t xml:space="preserve">Pagina </w:t>
    </w:r>
    <w:r>
      <w:rPr>
        <w:rFonts w:ascii="Calibri" w:hAnsi="Calibri"/>
        <w:color w:val="5F6B7A"/>
        <w:sz w:val="17"/>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026" w:val="right"/>
      </w:tabs>
      <w:spacing w:before="0" w:after="0"/>
      <w:pBdr>
        <w:bottom w:val="single" w:sz="5" w:space="4" w:color="CBC2F5"/>
      </w:pBdr>
    </w:pPr>
    <w:r>
      <w:rPr>
        <w:rFonts w:ascii="Calibri" w:hAnsi="Calibri"/>
        <w:color w:val="5F6B7A"/>
        <w:sz w:val="17"/>
      </w:rPr>
      <w:t>Contratto concordato 3+2</w:t>
    </w:r>
    <w:r>
      <w:rPr>
        <w:rFonts w:ascii="Calibri" w:hAnsi="Calibri"/>
        <w:b/>
        <w:color w:val="5F6B7A"/>
        <w:sz w:val="17"/>
      </w:rPr>
      <w:tab/>
      <w:t>ConcordatoFacile | Risorsa gratuita</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026" w:val="right"/>
      </w:tabs>
      <w:spacing w:before="0" w:after="0"/>
      <w:pBdr>
        <w:bottom w:val="single" w:sz="5" w:space="4" w:color="CBC2F5"/>
      </w:pBdr>
    </w:pPr>
    <w:r>
      <w:rPr>
        <w:rFonts w:ascii="Calibri" w:hAnsi="Calibri"/>
        <w:b/>
        <w:color w:val="5F6B7A"/>
        <w:sz w:val="17"/>
      </w:rPr>
      <w:t>ConcordatoFacile | Risorsa gratuita</w:t>
    </w:r>
    <w:r>
      <w:rPr>
        <w:rFonts w:ascii="Calibri" w:hAnsi="Calibri"/>
        <w:color w:val="5F6B7A"/>
        <w:sz w:val="17"/>
      </w:rPr>
      <w:tab/>
      <w:t>Contratto concordato 3+2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decimal"/>
      <w:lvlText w:val="%1."/>
      <w:lvlJc w:val="left"/>
      <w:pPr>
        <w:tabs>
          <w:tab w:val="num" w:pos="540"/>
        </w:tabs>
        <w:ind w:left="540" w:hanging="270"/>
        <w:spacing w:after="80" w:line="300" w:lineRule="auto"/>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evenAndOddHeader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keepNext w:val="0"/>
      <w:spacing w:before="0" w:after="120" w:line="300" w:lineRule="auto"/>
    </w:pPr>
    <w:rPr>
      <w:rFonts w:ascii="Calibri" w:hAnsi="Calibri"/>
      <w:b w:val="0"/>
      <w:i w:val="0"/>
      <w:color w:val="2026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240" w:lineRule="auto"/>
      <w:outlineLvl w:val="0"/>
    </w:pPr>
    <w:rPr>
      <w:rFonts w:asciiTheme="majorHAnsi" w:eastAsiaTheme="majorEastAsia" w:hAnsiTheme="majorHAnsi" w:cstheme="majorBidi" w:ascii="Calibri" w:hAnsi="Calibri"/>
      <w:b/>
      <w:bCs/>
      <w:i w:val="0"/>
      <w:color w:val="542CF2"/>
      <w:sz w:val="32"/>
      <w:szCs w:val="28"/>
    </w:rPr>
  </w:style>
  <w:style w:type="paragraph" w:styleId="Heading2">
    <w:name w:val="heading 2"/>
    <w:basedOn w:val="Normal"/>
    <w:next w:val="Normal"/>
    <w:link w:val="Heading2Char"/>
    <w:uiPriority w:val="9"/>
    <w:unhideWhenUsed/>
    <w:qFormat/>
    <w:rsid w:val="00FC693F"/>
    <w:pPr>
      <w:keepNext/>
      <w:keepLines/>
      <w:spacing w:before="280" w:after="140" w:line="240" w:lineRule="auto"/>
      <w:outlineLvl w:val="1"/>
    </w:pPr>
    <w:rPr>
      <w:rFonts w:asciiTheme="majorHAnsi" w:eastAsiaTheme="majorEastAsia" w:hAnsiTheme="majorHAnsi" w:cstheme="majorBidi" w:ascii="Calibri" w:hAnsi="Calibri"/>
      <w:b/>
      <w:bCs/>
      <w:i w:val="0"/>
      <w:color w:val="542CF2"/>
      <w:sz w:val="26"/>
      <w:szCs w:val="26"/>
    </w:rPr>
  </w:style>
  <w:style w:type="paragraph" w:styleId="Heading3">
    <w:name w:val="heading 3"/>
    <w:basedOn w:val="Normal"/>
    <w:next w:val="Normal"/>
    <w:link w:val="Heading3Char"/>
    <w:uiPriority w:val="9"/>
    <w:unhideWhenUsed/>
    <w:qFormat/>
    <w:rsid w:val="00FC693F"/>
    <w:pPr>
      <w:keepNext/>
      <w:keepLines/>
      <w:spacing w:before="200" w:after="100" w:line="240" w:lineRule="auto"/>
      <w:outlineLvl w:val="2"/>
    </w:pPr>
    <w:rPr>
      <w:rFonts w:asciiTheme="majorHAnsi" w:eastAsiaTheme="majorEastAsia" w:hAnsiTheme="majorHAnsi" w:cstheme="majorBidi" w:ascii="Calibri" w:hAnsi="Calibri"/>
      <w:b/>
      <w:bCs/>
      <w:i w:val="0"/>
      <w:color w:val="2A157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spacing w:after="160" w:line="240" w:lineRule="auto" w:before="0"/>
      <w:contextualSpacing/>
    </w:pPr>
    <w:rPr>
      <w:rFonts w:asciiTheme="majorHAnsi" w:eastAsiaTheme="majorEastAsia" w:hAnsiTheme="majorHAnsi" w:cstheme="majorBidi" w:ascii="Calibri" w:hAnsi="Calibri"/>
      <w:b/>
      <w:i w:val="0"/>
      <w:color w:val="241449"/>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360" w:line="276" w:lineRule="auto"/>
    </w:pPr>
    <w:rPr>
      <w:rFonts w:asciiTheme="majorHAnsi" w:eastAsiaTheme="majorEastAsia" w:hAnsiTheme="majorHAnsi" w:cstheme="majorBidi" w:ascii="Calibri" w:hAnsi="Calibri"/>
      <w:b w:val="0"/>
      <w:i w:val="0"/>
      <w:iCs/>
      <w:color w:val="5F6B7A"/>
      <w:spacing w:val="15"/>
      <w:sz w:val="27"/>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FKicker">
    <w:name w:val="CF Kicker"/>
    <w:basedOn w:val="Normal"/>
    <w:pPr>
      <w:keepNext/>
      <w:spacing w:before="0" w:after="40" w:line="240" w:lineRule="auto"/>
    </w:pPr>
    <w:rPr>
      <w:rFonts w:ascii="Calibri" w:hAnsi="Calibri"/>
      <w:b/>
      <w:i w:val="0"/>
      <w:color w:val="7A5A00"/>
      <w:sz w:val="19"/>
    </w:rPr>
  </w:style>
  <w:style w:type="paragraph" w:customStyle="1" w:styleId="CFTableText">
    <w:name w:val="CF Table Text"/>
    <w:basedOn w:val="Normal"/>
    <w:pPr>
      <w:keepNext w:val="0"/>
      <w:spacing w:before="0" w:after="20" w:line="259" w:lineRule="auto"/>
    </w:pPr>
    <w:rPr>
      <w:rFonts w:ascii="Calibri" w:hAnsi="Calibri"/>
      <w:b w:val="0"/>
      <w:i w:val="0"/>
      <w:color w:val="20262E"/>
      <w:sz w:val="18"/>
    </w:rPr>
  </w:style>
  <w:style w:type="paragraph" w:customStyle="1" w:styleId="CFTableHeader">
    <w:name w:val="CF Table Header"/>
    <w:basedOn w:val="Normal"/>
    <w:pPr>
      <w:keepNext w:val="0"/>
      <w:spacing w:before="0" w:after="0" w:line="240" w:lineRule="auto"/>
    </w:pPr>
    <w:rPr>
      <w:rFonts w:ascii="Calibri" w:hAnsi="Calibri"/>
      <w:b/>
      <w:i w:val="0"/>
      <w:color w:val="241449"/>
      <w:sz w:val="18"/>
    </w:rPr>
  </w:style>
  <w:style w:type="paragraph" w:customStyle="1" w:styleId="CFSmallNote">
    <w:name w:val="CF Small Note"/>
    <w:basedOn w:val="Normal"/>
    <w:pPr>
      <w:keepNext w:val="0"/>
      <w:spacing w:before="0" w:after="60" w:line="264" w:lineRule="auto"/>
    </w:pPr>
    <w:rPr>
      <w:rFonts w:ascii="Calibri" w:hAnsi="Calibri"/>
      <w:b w:val="0"/>
      <w:i w:val="0"/>
      <w:color w:val="5F6B7A"/>
      <w:sz w:val="17"/>
    </w:rPr>
  </w:style>
  <w:style w:type="paragraph" w:customStyle="1" w:styleId="CFSource">
    <w:name w:val="CF Source"/>
    <w:basedOn w:val="Normal"/>
    <w:pPr>
      <w:keepNext w:val="0"/>
      <w:spacing w:before="80" w:after="80" w:line="264" w:lineRule="auto"/>
    </w:pPr>
    <w:rPr>
      <w:rFonts w:ascii="Calibri" w:hAnsi="Calibri"/>
      <w:b w:val="0"/>
      <w:i w:val="0"/>
      <w:color w:val="5F6B7A"/>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s://modulo.concordatofacil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locazione 3+2</dc:title>
  <dc:subject>Trascrizione editabile dell'Allegato A al DM 16 gennaio 2017, da coordinare con l'accordo territoriale applicabile.</dc:subject>
  <dc:creator/>
  <cp:keywords>contratto canone concordato 3+2, modello ministeriale, allegato A, fac simile Word</cp:keywords>
  <dc:description>generated by python-docx</dc:description>
  <cp:lastModifiedBy/>
  <cp:revision>1</cp:revision>
  <dcterms:created xsi:type="dcterms:W3CDTF">2013-12-23T23:15:00Z</dcterms:created>
  <dcterms:modified xsi:type="dcterms:W3CDTF">2013-12-23T23:15:00Z</dcterms:modified>
  <cp:category/>
</cp:coreProperties>
</file>