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FKicker"/>
      </w:pPr>
      <w:r>
        <w:rPr>
          <w:rFonts w:ascii="Calibri" w:hAnsi="Calibri"/>
          <w:b/>
          <w:color w:val="7A5A00"/>
          <w:sz w:val="19"/>
        </w:rPr>
        <w:t>RISORSA GRATUITA | FAC-SIMILE EDITORIALE</w:t>
      </w:r>
    </w:p>
    <w:p>
      <w:pPr>
        <w:pStyle w:val="Title"/>
      </w:pPr>
      <w:r>
        <w:t>Contratto a canone libero 4+4</w:t>
      </w:r>
    </w:p>
    <w:p>
      <w:pPr>
        <w:pStyle w:val="Subtitle"/>
      </w:pPr>
      <w:r>
        <w:t>Fac-simile editoriale di contratto di locazione a uso abitativo a canone libero, ai sensi dell'art. 2, comma 1, della legge 431/1998.</w:t>
      </w:r>
    </w:p>
    <w:tbl>
      <w:tblPr>
        <w:tblW w:type="dxa" w:w="9026"/>
        <w:jc w:val="left"/>
        <w:tblLayout w:type="fixed"/>
        <w:tblLook w:firstColumn="1" w:firstRow="1" w:lastColumn="0" w:lastRow="0" w:noHBand="0" w:noVBand="1" w:val="04A0"/>
        <w:tblInd w:type="dxa" w:w="120"/>
      </w:tblPr>
      <w:tblGrid>
        <w:gridCol w:w="1157"/>
        <w:gridCol w:w="2681"/>
        <w:gridCol w:w="1543"/>
        <w:gridCol w:w="3645"/>
      </w:tblGrid>
      <w:tr>
        <w:trPr>
          <w:cantSplit/>
        </w:trPr>
        <w:tc>
          <w:tcPr>
            <w:tcW w:type="dxa" w:w="1157"/>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Formato</w:t>
            </w:r>
          </w:p>
        </w:tc>
        <w:tc>
          <w:tcPr>
            <w:tcW w:type="dxa" w:w="2681"/>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Compilabile e stampabile</w:t>
            </w:r>
          </w:p>
        </w:tc>
        <w:tc>
          <w:tcPr>
            <w:tcW w:type="dxa" w:w="1543"/>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Versione</w:t>
            </w:r>
          </w:p>
        </w:tc>
        <w:tc>
          <w:tcPr>
            <w:tcW w:type="dxa" w:w="3645"/>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1.0</w:t>
            </w:r>
          </w:p>
        </w:tc>
      </w:tr>
      <w:tr>
        <w:trPr>
          <w:cantSplit/>
        </w:trPr>
        <w:tc>
          <w:tcPr>
            <w:tcW w:type="dxa" w:w="1157"/>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Revisione editoriale</w:t>
            </w:r>
          </w:p>
        </w:tc>
        <w:tc>
          <w:tcPr>
            <w:tcW w:type="dxa" w:w="2681"/>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1 settembre 2026</w:t>
            </w:r>
          </w:p>
        </w:tc>
        <w:tc>
          <w:tcPr>
            <w:tcW w:type="dxa" w:w="1543"/>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Prossimo passo</w:t>
            </w:r>
          </w:p>
        </w:tc>
        <w:tc>
          <w:tcPr>
            <w:tcW w:type="dxa" w:w="3645"/>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Contratto a canone libero</w:t>
            </w:r>
          </w:p>
        </w:tc>
      </w:tr>
    </w:tbl>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F8F6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spacing w:before="0"/>
            </w:pPr>
            <w:r>
              <w:rPr>
                <w:rFonts w:ascii="Calibri" w:hAnsi="Calibri"/>
                <w:b/>
                <w:color w:val="7A5A00"/>
                <w:sz w:val="21"/>
              </w:rPr>
              <w:t xml:space="preserve">IMPORTANTE. </w:t>
            </w:r>
            <w:r>
              <w:rPr>
                <w:rFonts w:ascii="Calibri" w:hAnsi="Calibri"/>
                <w:color w:val="20262E"/>
                <w:sz w:val="21"/>
              </w:rPr>
              <w:t>Non è un modello ministeriale: per il canone libero non ne esiste uno, e non è prevista alcuna attestazione di rispondenza. Completa gli spazi, elimina le clausole opzionali che non ti servono e fai verificare il testo prima della firma.</w:t>
            </w:r>
          </w:p>
        </w:tc>
      </w:tr>
    </w:tbl>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F8F6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spacing w:before="0"/>
            </w:pPr>
            <w:r>
              <w:rPr>
                <w:rFonts w:ascii="Calibri" w:hAnsi="Calibri"/>
                <w:b/>
                <w:color w:val="7A5A00"/>
                <w:sz w:val="21"/>
              </w:rPr>
              <w:t xml:space="preserve">AVVISO LEGALE. </w:t>
            </w:r>
            <w:r>
              <w:rPr>
                <w:rFonts w:ascii="Calibri" w:hAnsi="Calibri"/>
                <w:color w:val="20262E"/>
                <w:sz w:val="21"/>
              </w:rPr>
              <w:t>Questo fac-simile è una base editoriale predisposta dalla redazione ConcordatoFacile: non è un modello ministeriale, non costituisce consulenza legale e non certifica nulla. Prima della firma fallo verificare da un legale di fiducia, o affidaci la redazione del contratto.</w:t>
            </w:r>
          </w:p>
        </w:tc>
      </w:tr>
    </w:tbl>
    <w:p>
      <w:pPr>
        <w:pStyle w:val="Heading2"/>
      </w:pPr>
      <w:r>
        <w:t>Come usare la scheda</w:t>
      </w:r>
    </w:p>
    <w:p>
      <w:pPr>
        <w:numPr>
          <w:ilvl w:val="0"/>
          <w:numId w:val="10"/>
        </w:numPr>
        <w:spacing w:after="80" w:line="300" w:lineRule="auto"/>
      </w:pPr>
      <w:r>
        <w:rPr>
          <w:rFonts w:ascii="Calibri" w:hAnsi="Calibri"/>
          <w:color w:val="20262E"/>
          <w:sz w:val="22"/>
        </w:rPr>
        <w:t>Compila i riferimenti di parti e immobile: se i proprietari sono più di uno devono comparire tutti.</w:t>
      </w:r>
    </w:p>
    <w:p>
      <w:pPr>
        <w:numPr>
          <w:ilvl w:val="0"/>
          <w:numId w:val="10"/>
        </w:numPr>
        <w:spacing w:after="80" w:line="300" w:lineRule="auto"/>
      </w:pPr>
      <w:r>
        <w:rPr>
          <w:rFonts w:ascii="Calibri" w:hAnsi="Calibri"/>
          <w:color w:val="20262E"/>
          <w:sz w:val="22"/>
        </w:rPr>
        <w:t>Scrivi il canone in cifre e lettere, con scadenza delle rate e mezzo di pagamento tracciabile.</w:t>
      </w:r>
    </w:p>
    <w:p>
      <w:pPr>
        <w:numPr>
          <w:ilvl w:val="0"/>
          <w:numId w:val="10"/>
        </w:numPr>
        <w:spacing w:after="80" w:line="300" w:lineRule="auto"/>
      </w:pPr>
      <w:r>
        <w:rPr>
          <w:rFonts w:ascii="Calibri" w:hAnsi="Calibri"/>
          <w:color w:val="20262E"/>
          <w:sz w:val="22"/>
        </w:rPr>
        <w:t>Scegli le clausole opzionali (aggiornamento ISTAT, recesso convenzionale, cedolare secca) ed elimina le altre.</w:t>
      </w:r>
    </w:p>
    <w:p>
      <w:pPr>
        <w:numPr>
          <w:ilvl w:val="0"/>
          <w:numId w:val="10"/>
        </w:numPr>
        <w:spacing w:after="80" w:line="300" w:lineRule="auto"/>
      </w:pPr>
      <w:r>
        <w:rPr>
          <w:rFonts w:ascii="Calibri" w:hAnsi="Calibri"/>
          <w:color w:val="20262E"/>
          <w:sz w:val="22"/>
        </w:rPr>
        <w:t>Allega APE e, se l'immobile è arredato, inventario e verbale di consegna.</w:t>
      </w:r>
    </w:p>
    <w:p>
      <w:pPr>
        <w:numPr>
          <w:ilvl w:val="0"/>
          <w:numId w:val="10"/>
        </w:numPr>
        <w:spacing w:after="80" w:line="300" w:lineRule="auto"/>
      </w:pPr>
      <w:r>
        <w:rPr>
          <w:rFonts w:ascii="Calibri" w:hAnsi="Calibri"/>
          <w:color w:val="20262E"/>
          <w:sz w:val="22"/>
        </w:rPr>
        <w:t>Registra il contratto entro 30 giorni dalla stipula o dalla decorrenza, se anteriore.</w:t>
      </w:r>
    </w:p>
    <w:p>
      <w:pPr>
        <w:spacing w:before="0" w:after="0"/>
      </w:pPr>
      <w:r>
        <w:br w:type="page"/>
      </w:r>
    </w:p>
    <w:p>
      <w:pPr>
        <w:pStyle w:val="Heading1"/>
      </w:pPr>
      <w:r>
        <w:t>1. Parti e immobile</w:t>
      </w:r>
    </w:p>
    <w:tbl>
      <w:tblPr>
        <w:tblW w:type="dxa" w:w="9026"/>
        <w:jc w:val="left"/>
        <w:tblLayout w:type="fixed"/>
        <w:tblLook w:firstColumn="1" w:firstRow="1" w:lastColumn="0" w:lastRow="0" w:noHBand="0" w:noVBand="1" w:val="04A0"/>
        <w:tblInd w:type="dxa" w:w="120"/>
      </w:tblPr>
      <w:tblGrid>
        <w:gridCol w:w="2748"/>
        <w:gridCol w:w="6278"/>
      </w:tblGrid>
      <w:tr>
        <w:trPr>
          <w:cantSplit/>
          <w:tblHeader w:val="true"/>
        </w:trPr>
        <w:tc>
          <w:tcPr>
            <w:tcW w:type="dxa" w:w="274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pPr>
            <w:r>
              <w:rPr>
                <w:rFonts w:ascii="Calibri" w:hAnsi="Calibri"/>
                <w:b/>
                <w:color w:val="241449"/>
                <w:sz w:val="18"/>
              </w:rPr>
              <w:t>Dato da raccogliere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pPr>
            <w:r>
              <w:rPr>
                <w:rFonts w:ascii="Calibri" w:hAnsi="Calibri"/>
                <w:b/>
                <w:color w:val="241449"/>
                <w:sz w:val="18"/>
              </w:rPr>
              <w:t>Compilazione / riferimento</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Locatore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Nome / denominazione: ____________________________________________________________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Codice fiscale: __________________  Residenza / sede: 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Conduttore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Nome / denominazione: ____________________________________________________________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Codice fiscale: __________________  Residenza: 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Immobile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Comune: __________  Indirizzo: ____________________________________________________________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Dati catastali</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Foglio: ______  Particella: ______  Sub: ______  Categoria: ______  Rendita: 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Consistenza</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Vani: ______  Superficie: ______ mq  Arredato: □ sì  □ no  □ parzialmente</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APE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Classe: ______  Codice identificativo: ____________________________</w:t>
            </w:r>
          </w:p>
        </w:tc>
      </w:tr>
    </w:tbl>
    <w:p>
      <w:pPr>
        <w:pStyle w:val="Heading1"/>
      </w:pPr>
      <w:r>
        <w:t>2. Testo del contratto</w:t>
      </w:r>
    </w:p>
    <w:p>
      <w:pPr>
        <w:pStyle w:val="Heading2"/>
        <w:keepNext/>
      </w:pPr>
      <w:r>
        <w:t>Articolo 1 — Oggetto della locazione</w:t>
      </w:r>
    </w:p>
    <w:p>
      <w:pPr>
        <w:jc w:val="both"/>
      </w:pPr>
      <w:r>
        <w:t>Il locatore concede in locazione al conduttore, che accetta, l'immobile a uso abitativo descritto nella scheda «1. Parti e immobile», che forma parte integrante del presente contratto, nello stato di fatto e di diritto in cui si trova, che il conduttore dichiara di conoscere e di accettare.</w:t>
      </w:r>
    </w:p>
    <w:p>
      <w:pPr>
        <w:jc w:val="both"/>
      </w:pPr>
      <w:r>
        <w:t>L'immobile è destinato esclusivamente a uso abitativo del conduttore e del suo nucleo familiare. Ogni diversa destinazione richiede il consenso scritto del locatore.</w:t>
      </w:r>
    </w:p>
    <w:p>
      <w:pPr>
        <w:pStyle w:val="Heading2"/>
        <w:keepNext/>
      </w:pPr>
      <w:r>
        <w:t>Articolo 2 — Durata e rinnovo</w:t>
      </w:r>
    </w:p>
    <w:p>
      <w:pPr>
        <w:jc w:val="left"/>
      </w:pPr>
      <w:r>
        <w:t>La locazione ha durata di quattro anni, con decorrenza dal ____ / ____ / ______ e scadenza al ____ / ____ / ______, ai sensi dell'articolo 2, comma 1, della legge 9 dicembre 1998, n. 431.</w:t>
      </w:r>
    </w:p>
    <w:p>
      <w:pPr>
        <w:jc w:val="both"/>
      </w:pPr>
      <w:r>
        <w:t>Alla prima scadenza il contratto è rinnovato automaticamente per ulteriori quattro anni, salvo che il locatore comunichi disdetta motivata da uno dei casi previsti dall'articolo 3 della medesima legge, con lettera raccomandata da inviare almeno sei mesi prima della scadenza.</w:t>
      </w:r>
    </w:p>
    <w:p>
      <w:pPr>
        <w:jc w:val="both"/>
      </w:pPr>
      <w:r>
        <w:t>Alla seconda scadenza ciascuna parte può comunicare disdetta, senza obbligo di motivazione, con lettera raccomandata almeno sei mesi prima. In mancanza di disdetta il contratto si rinnova tacitamente alle medesime condizioni.</w:t>
      </w:r>
    </w:p>
    <w:p>
      <w:pPr>
        <w:pStyle w:val="Heading2"/>
        <w:keepNext/>
      </w:pPr>
      <w:r>
        <w:t>Articolo 3 — Canone e modalità di pagamento</w:t>
      </w:r>
    </w:p>
    <w:p>
      <w:pPr>
        <w:jc w:val="left"/>
      </w:pPr>
      <w:r>
        <w:t>Il canone annuo è liberamente convenuto tra le parti in euro ______________ (____________________________________), da corrispondersi in ______ rate anticipate di euro ______________ ciascuna, entro il giorno ______ di ogni periodo.</w:t>
      </w:r>
    </w:p>
    <w:p>
      <w:pPr>
        <w:jc w:val="left"/>
      </w:pPr>
      <w:r>
        <w:t>Il pagamento avviene con mezzo tracciabile sul conto indicato dal locatore (IBAN: ____________________________). Il mancato pagamento del canone o degli oneri accessori legittima il locatore ad agire nei termini di legge.</w:t>
      </w:r>
    </w:p>
    <w:p>
      <w:pPr>
        <w:pStyle w:val="Heading2"/>
        <w:keepNext/>
      </w:pPr>
      <w:r>
        <w:t>Articolo 4 — Aggiornamento del canone (clausola opzionale)</w:t>
      </w:r>
    </w:p>
    <w:p>
      <w:pPr>
        <w:jc w:val="both"/>
      </w:pPr>
      <w:r>
        <w:t>□ Le parti convengono che il canone sia aggiornato annualmente, su richiesta scritta del locatore, nella misura del 75% della variazione dell'indice ISTAT dei prezzi al consumo per le famiglie di operai e impiegati, ai sensi dell'articolo 32 della legge 27 luglio 1978, n. 392. La richiesta non ha effetto retroattivo.</w:t>
      </w:r>
    </w:p>
    <w:p>
      <w:pPr>
        <w:jc w:val="both"/>
      </w:pPr>
      <w:r>
        <w:t>□ Le parti convengono di non prevedere alcun aggiornamento del canone. Barrare una sola opzione ed eliminare l'altra. Si ricorda che l'opzione per la cedolare secca comporta la rinuncia all'aggiornamento per tutta la durata dell'opzione.</w:t>
      </w:r>
    </w:p>
    <w:p>
      <w:pPr>
        <w:pStyle w:val="Heading2"/>
        <w:keepNext/>
      </w:pPr>
      <w:r>
        <w:t>Articolo 5 — Deposito cauzionale</w:t>
      </w:r>
    </w:p>
    <w:p>
      <w:pPr>
        <w:jc w:val="left"/>
      </w:pPr>
      <w:r>
        <w:t>A garanzia delle obbligazioni assunte il conduttore versa un deposito cauzionale di euro ______________, pari a ______ mensilità, non imputabile in conto canoni.</w:t>
      </w:r>
    </w:p>
    <w:p>
      <w:pPr>
        <w:jc w:val="both"/>
      </w:pPr>
      <w:r>
        <w:t>Il deposito è produttivo di interessi legali, da corrispondersi al conduttore alla fine di ogni anno, ed è restituito al termine della locazione previa verifica dello stato dell'immobile e dell'adempimento delle obbligazioni contrattuali.</w:t>
      </w:r>
    </w:p>
    <w:p>
      <w:pPr>
        <w:pStyle w:val="Heading2"/>
        <w:keepNext/>
      </w:pPr>
      <w:r>
        <w:t>Articolo 6 — Oneri accessori</w:t>
      </w:r>
    </w:p>
    <w:p>
      <w:pPr>
        <w:jc w:val="both"/>
      </w:pPr>
      <w:r>
        <w:t>Le spese e gli oneri accessori sono ripartiti tra le parti secondo la Tabella allegata al presente contratto, che le parti dichiarano di conoscere e sottoscrivono per accettazione.</w:t>
      </w:r>
    </w:p>
    <w:p>
      <w:pPr>
        <w:jc w:val="both"/>
      </w:pPr>
      <w:r>
        <w:t>Il locatore comunica al conduttore il rendiconto delle spese entro sessanta giorni dalla richiesta; il conduttore ha diritto di prendere visione dei documenti giustificativi.</w:t>
      </w:r>
    </w:p>
    <w:p>
      <w:pPr>
        <w:pStyle w:val="Heading2"/>
        <w:keepNext/>
      </w:pPr>
      <w:r>
        <w:t>Articolo 7 — Uso, sublocazione e cessione</w:t>
      </w:r>
    </w:p>
    <w:p>
      <w:pPr>
        <w:jc w:val="both"/>
      </w:pPr>
      <w:r>
        <w:t>Il conduttore non può sublocare l'immobile né cedere il contratto senza il consenso scritto del locatore. È fatto salvo quanto previsto dall'articolo 6 della legge 392/1978 in materia di successione nel contratto.</w:t>
      </w:r>
    </w:p>
    <w:p>
      <w:pPr>
        <w:jc w:val="both"/>
      </w:pPr>
      <w:r>
        <w:t>Il conduttore si obbliga a osservare il regolamento condominiale, ove esistente, e a non arrecare molestia agli altri occupanti dell'edificio.</w:t>
      </w:r>
    </w:p>
    <w:p>
      <w:pPr>
        <w:pStyle w:val="Heading2"/>
        <w:keepNext/>
      </w:pPr>
      <w:r>
        <w:t>Articolo 8 — Manutenzione, riparazioni e modifiche</w:t>
      </w:r>
    </w:p>
    <w:p>
      <w:pPr>
        <w:jc w:val="both"/>
      </w:pPr>
      <w:r>
        <w:t>Il conduttore custodisce l'immobile con la diligenza del buon padre di famiglia ed esegue le riparazioni di piccola manutenzione a suo carico ai sensi dell'articolo 1609 del codice civile.</w:t>
      </w:r>
    </w:p>
    <w:p>
      <w:pPr>
        <w:jc w:val="both"/>
      </w:pPr>
      <w:r>
        <w:t>Nessuna innovazione, modifica o opera che alteri l'immobile può essere eseguita senza consenso scritto del locatore. Le migliorie eventualmente autorizzate restano acquisite all'immobile senza diritto a indennizzo, salvo diverso accordo scritto.</w:t>
      </w:r>
    </w:p>
    <w:p>
      <w:pPr>
        <w:pStyle w:val="Heading2"/>
        <w:keepNext/>
      </w:pPr>
      <w:r>
        <w:t>Articolo 9 — Recesso del conduttore</w:t>
      </w:r>
    </w:p>
    <w:p>
      <w:pPr>
        <w:jc w:val="both"/>
      </w:pPr>
      <w:r>
        <w:t>Il conduttore può recedere in qualsiasi momento per gravi motivi sopravvenuti, con lettera raccomandata da inviare almeno sei mesi prima, indicando i motivi.</w:t>
      </w:r>
    </w:p>
    <w:p>
      <w:pPr>
        <w:jc w:val="both"/>
      </w:pPr>
      <w:r>
        <w:t>□ Clausola opzionale: le parti convengono inoltre che il conduttore possa recedere in qualsiasi momento senza necessità di motivazione, con preavviso di sei mesi. Eliminare il capoverso se non voluto.</w:t>
      </w:r>
    </w:p>
    <w:p>
      <w:pPr>
        <w:pStyle w:val="Heading2"/>
        <w:keepNext/>
      </w:pPr>
      <w:r>
        <w:t>Articolo 10 — Consegna e riconsegna</w:t>
      </w:r>
    </w:p>
    <w:p>
      <w:pPr>
        <w:jc w:val="both"/>
      </w:pPr>
      <w:r>
        <w:t>L'immobile è consegnato nello stato risultante dal verbale di consegna e dall'inventario eventualmente allegati, che formano parte integrante del contratto.</w:t>
      </w:r>
    </w:p>
    <w:p>
      <w:pPr>
        <w:jc w:val="both"/>
      </w:pPr>
      <w:r>
        <w:t>Alla scadenza il conduttore riconsegna l'immobile libero da persone e cose, nello stesso stato in cui lo ha ricevuto, salvo il normale deperimento d'uso, unitamente a tutte le chiavi.</w:t>
      </w:r>
    </w:p>
    <w:p>
      <w:pPr>
        <w:pStyle w:val="Heading2"/>
        <w:keepNext/>
      </w:pPr>
      <w:r>
        <w:t>Articolo 11 — Registrazione, imposte e regime fiscale</w:t>
      </w:r>
    </w:p>
    <w:p>
      <w:pPr>
        <w:jc w:val="both"/>
      </w:pPr>
      <w:r>
        <w:t>Le spese di registrazione del contratto sono a carico delle parti in parti uguali, salvo quanto previsto in caso di opzione per la cedolare secca.</w:t>
      </w:r>
    </w:p>
    <w:p>
      <w:pPr>
        <w:jc w:val="both"/>
      </w:pPr>
      <w:r>
        <w:t>□ Il locatore dichiara di optare per il regime della cedolare secca ai sensi dell'articolo 3 del d.lgs. 14 marzo 2011, n. 23, e si obbliga a comunicarlo preventivamente al conduttore con lettera raccomandata, rinunciando per il relativo periodo all'aggiornamento del canone. Eliminare la casella se l'opzione non viene esercitata.</w:t>
      </w:r>
    </w:p>
    <w:p>
      <w:pPr>
        <w:pStyle w:val="Heading2"/>
        <w:keepNext/>
      </w:pPr>
      <w:r>
        <w:t>Articolo 12 — Attestato di prestazione energetica e allegati</w:t>
      </w:r>
    </w:p>
    <w:p>
      <w:pPr>
        <w:jc w:val="both"/>
      </w:pPr>
      <w:r>
        <w:t>Il locatore consegna al conduttore copia dell'attestato di prestazione energetica; le parti danno atto dell'avvenuta informazione e consegna.</w:t>
      </w:r>
    </w:p>
    <w:p>
      <w:pPr>
        <w:jc w:val="both"/>
      </w:pPr>
      <w:r>
        <w:t>Formano parte integrante del contratto gli allegati indicati nella sezione seguente.</w:t>
      </w:r>
    </w:p>
    <w:p>
      <w:pPr>
        <w:pStyle w:val="Heading2"/>
        <w:keepNext/>
      </w:pPr>
      <w:r>
        <w:t>Articolo 13 — Sottoscrizione e trattamento dei dati personali</w:t>
      </w:r>
    </w:p>
    <w:p>
      <w:pPr>
        <w:jc w:val="left"/>
      </w:pPr>
      <w:r>
        <w:t>Il presente contratto è sottoscritto a ____________________ il ____ / ____ / ______ in ______ originali, uno per ciascuna parte e uno per la registrazione.</w:t>
      </w:r>
    </w:p>
    <w:p>
      <w:pPr>
        <w:jc w:val="both"/>
      </w:pPr>
      <w:r>
        <w:t>Le parti danno atto che i dati personali contenuti nel presente contratto sono trattati per l'esecuzione del contratto e per gli adempimenti di legge, ai sensi dell'articolo 6, paragrafo 1, lettere b) e c), del Regolamento (UE) 2016/679.</w:t>
      </w:r>
    </w:p>
    <w:p>
      <w:pPr>
        <w:pStyle w:val="Heading2"/>
        <w:keepNext/>
      </w:pPr>
      <w:r>
        <w:t>Articolo 14 — Rinvio</w:t>
      </w:r>
    </w:p>
    <w:p>
      <w:pPr>
        <w:jc w:val="both"/>
      </w:pPr>
      <w:r>
        <w:t>Per quanto non espressamente previsto le parti rinviano alla legge 9 dicembre 1998, n. 431, alla legge 27 luglio 1978, n. 392, in quanto applicabile, e alle norme del codice civile in materia di locazione.</w:t>
      </w:r>
    </w:p>
    <w:p>
      <w:pPr>
        <w:pStyle w:val="Heading1"/>
      </w:pPr>
      <w:r>
        <w:t>3. Allegati</w:t>
      </w:r>
    </w:p>
    <w:tbl>
      <w:tblPr>
        <w:tblW w:type="dxa" w:w="9026"/>
        <w:jc w:val="left"/>
        <w:tblLayout w:type="fixed"/>
        <w:tblLook w:firstColumn="1" w:firstRow="1" w:lastColumn="0" w:lastRow="0" w:noHBand="0" w:noVBand="1" w:val="04A0"/>
        <w:tblInd w:type="dxa" w:w="120"/>
      </w:tblPr>
      <w:tblGrid>
        <w:gridCol w:w="820"/>
        <w:gridCol w:w="2989"/>
        <w:gridCol w:w="5217"/>
      </w:tblGrid>
      <w:tr>
        <w:trPr>
          <w:cantSplit/>
          <w:tblHeader w:val="true"/>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Stato</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pPr>
            <w:r>
              <w:rPr>
                <w:rFonts w:ascii="Calibri" w:hAnsi="Calibri"/>
                <w:b/>
                <w:color w:val="241449"/>
                <w:sz w:val="18"/>
              </w:rPr>
              <w:t>Voce</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pPr>
            <w:r>
              <w:rPr>
                <w:rFonts w:ascii="Calibri" w:hAnsi="Calibri"/>
                <w:b/>
                <w:color w:val="241449"/>
                <w:sz w:val="18"/>
              </w:rPr>
              <w:t>Controllo / note</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Attestato di prestazione energetica (APE)</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Tabella di ripartizione degli oneri accessori</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Verbale di consegna dell'immobile e delle chiavi</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Inventario degli arredi e allegato fotografico</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Regolamento condominiale</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Documenti di identità delle parti</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bl>
    <w:p>
      <w:pPr>
        <w:pStyle w:val="Heading1"/>
      </w:pPr>
      <w:r>
        <w:t>4. Clausole aggiuntive concordate</w:t>
      </w:r>
    </w:p>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FFFF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r>
          </w:p>
        </w:tc>
      </w:tr>
    </w:tbl>
    <w:p>
      <w:pPr>
        <w:pStyle w:val="Heading1"/>
      </w:pPr>
      <w:r>
        <w:t>5. Sottoscrizione</w:t>
      </w:r>
    </w:p>
    <w:tbl>
      <w:tblPr>
        <w:tblW w:type="dxa" w:w="9026"/>
        <w:jc w:val="left"/>
        <w:tblLayout w:type="fixed"/>
        <w:tblLook w:firstColumn="1" w:firstRow="1" w:lastColumn="0" w:lastRow="0" w:noHBand="0" w:noVBand="1" w:val="04A0"/>
        <w:tblInd w:type="dxa" w:w="120"/>
      </w:tblPr>
      <w:tblGrid>
        <w:gridCol w:w="4513"/>
        <w:gridCol w:w="4513"/>
      </w:tblGrid>
      <w:tr>
        <w:trPr>
          <w:cantSplit/>
        </w:trPr>
        <w:tc>
          <w:tcPr>
            <w:tcW w:type="dxa" w:w="4513"/>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Data: ____ / ____ / ______</w:t>
            </w:r>
          </w:p>
        </w:tc>
        <w:tc>
          <w:tcPr>
            <w:tcW w:type="dxa" w:w="4513"/>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Data: ____ / ____ / ______</w:t>
            </w:r>
          </w:p>
        </w:tc>
      </w:tr>
      <w:tr>
        <w:trPr>
          <w:cantSplit/>
        </w:trPr>
        <w:tc>
          <w:tcPr>
            <w:tcW w:type="dxa" w:w="4513"/>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br/>
              <w:t>Firma - Il locatore</w:t>
              <w:br/>
              <w:t>____________________________</w:t>
            </w:r>
          </w:p>
        </w:tc>
        <w:tc>
          <w:tcPr>
            <w:tcW w:type="dxa" w:w="4513"/>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br/>
              <w:t>Firma - Il conduttore</w:t>
              <w:br/>
              <w:t>____________________________</w:t>
            </w:r>
          </w:p>
        </w:tc>
      </w:tr>
    </w:tbl>
    <w:p>
      <w:pPr>
        <w:pStyle w:val="Heading1"/>
      </w:pPr>
      <w:r>
        <w:t>Controllo finale</w:t>
      </w:r>
    </w:p>
    <w:p>
      <w:pPr>
        <w:numPr>
          <w:ilvl w:val="0"/>
          <w:numId w:val="11"/>
        </w:numPr>
        <w:spacing w:after="80" w:line="300" w:lineRule="auto"/>
      </w:pPr>
      <w:r>
        <w:rPr>
          <w:rFonts w:ascii="Calibri" w:hAnsi="Calibri"/>
          <w:color w:val="20262E"/>
          <w:sz w:val="22"/>
        </w:rPr>
        <w:t>Tutti i proprietari compaiono come locatori e hanno sottoscritto.</w:t>
      </w:r>
    </w:p>
    <w:p>
      <w:pPr>
        <w:numPr>
          <w:ilvl w:val="0"/>
          <w:numId w:val="11"/>
        </w:numPr>
        <w:spacing w:after="80" w:line="300" w:lineRule="auto"/>
      </w:pPr>
      <w:r>
        <w:rPr>
          <w:rFonts w:ascii="Calibri" w:hAnsi="Calibri"/>
          <w:color w:val="20262E"/>
          <w:sz w:val="22"/>
        </w:rPr>
        <w:t>Canone, rate e deposito sono scritti in cifre e lettere e coincidono tra loro.</w:t>
      </w:r>
    </w:p>
    <w:p>
      <w:pPr>
        <w:numPr>
          <w:ilvl w:val="0"/>
          <w:numId w:val="11"/>
        </w:numPr>
        <w:spacing w:after="80" w:line="300" w:lineRule="auto"/>
      </w:pPr>
      <w:r>
        <w:rPr>
          <w:rFonts w:ascii="Calibri" w:hAnsi="Calibri"/>
          <w:color w:val="20262E"/>
          <w:sz w:val="22"/>
        </w:rPr>
        <w:t>È stata barrata una sola opzione per aggiornamento ISTAT, recesso convenzionale e cedolare secca, e le alternative sono state eliminate.</w:t>
      </w:r>
    </w:p>
    <w:p>
      <w:pPr>
        <w:numPr>
          <w:ilvl w:val="0"/>
          <w:numId w:val="11"/>
        </w:numPr>
        <w:spacing w:after="80" w:line="300" w:lineRule="auto"/>
      </w:pPr>
      <w:r>
        <w:rPr>
          <w:rFonts w:ascii="Calibri" w:hAnsi="Calibri"/>
          <w:color w:val="20262E"/>
          <w:sz w:val="22"/>
        </w:rPr>
        <w:t>Gli allegati richiamati esistono davvero e sono sottoscritti.</w:t>
      </w:r>
    </w:p>
    <w:p>
      <w:pPr>
        <w:numPr>
          <w:ilvl w:val="0"/>
          <w:numId w:val="11"/>
        </w:numPr>
        <w:spacing w:after="80" w:line="300" w:lineRule="auto"/>
      </w:pPr>
      <w:r>
        <w:rPr>
          <w:rFonts w:ascii="Calibri" w:hAnsi="Calibri"/>
          <w:color w:val="20262E"/>
          <w:sz w:val="22"/>
        </w:rPr>
        <w:t>La registrazione è programmata entro 30 giorni dalla stipula o dalla decorrenza, se anteriore.</w:t>
      </w:r>
    </w:p>
    <w:p>
      <w:pPr>
        <w:spacing w:before="0" w:after="0"/>
      </w:pPr>
      <w:r>
        <w:br w:type="page"/>
      </w:r>
    </w:p>
    <w:p>
      <w:pPr>
        <w:pStyle w:val="Heading1"/>
      </w:pPr>
      <w:r>
        <w:t>Allegato D — Tabella oneri accessori</w:t>
      </w:r>
    </w:p>
    <w:p>
      <w:pPr>
        <w:pStyle w:val="CFSmallNote"/>
      </w:pPr>
      <w:r>
        <w:t>Ripartizione ministeriale fra locatore (L) e conduttore (C). Le percentuali sono indicate dove previste dal testo ufficiale.</w:t>
      </w:r>
    </w:p>
    <w:p>
      <w:pPr>
        <w:pStyle w:val="Heading2"/>
      </w:pPr>
      <w:r>
        <w:t>ASCENSORE</w:t>
      </w:r>
    </w:p>
    <w:tbl>
      <w:tblPr>
        <w:tblW w:type="dxa" w:w="9026"/>
        <w:jc w:val="left"/>
        <w:tblLayout w:type="fixed"/>
        <w:tblLook w:firstColumn="1" w:firstRow="1" w:lastColumn="0" w:lastRow="0" w:noHBand="0" w:noVBand="1" w:val="04A0"/>
        <w:tblInd w:type="dxa" w:w="120"/>
      </w:tblPr>
      <w:tblGrid>
        <w:gridCol w:w="6750"/>
        <w:gridCol w:w="1138"/>
        <w:gridCol w:w="1138"/>
      </w:tblGrid>
      <w:tr>
        <w:trPr>
          <w:cantSplit/>
          <w:tblHeader w:val="true"/>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left"/>
            </w:pPr>
            <w:r>
              <w:rPr>
                <w:rFonts w:ascii="Calibri" w:hAnsi="Calibri"/>
                <w:b/>
                <w:color w:val="241449"/>
                <w:sz w:val="18"/>
              </w:rPr>
              <w:t>Voce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Locatore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Conduttore</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e piccole riparazioni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e manutenzione straordinaria degli impianti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Adeguamento alle nuove disposizioni di legge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Consumi energia elettrica per forza motrice e illuminazione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Ispezioni e collaudi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bl>
    <w:p>
      <w:pPr>
        <w:pStyle w:val="Heading2"/>
      </w:pPr>
      <w:r>
        <w:t>AUTOCLAVE</w:t>
      </w:r>
    </w:p>
    <w:tbl>
      <w:tblPr>
        <w:tblW w:type="dxa" w:w="9026"/>
        <w:jc w:val="left"/>
        <w:tblLayout w:type="fixed"/>
        <w:tblLook w:firstColumn="1" w:firstRow="1" w:lastColumn="0" w:lastRow="0" w:noHBand="0" w:noVBand="1" w:val="04A0"/>
        <w:tblInd w:type="dxa" w:w="120"/>
      </w:tblPr>
      <w:tblGrid>
        <w:gridCol w:w="6750"/>
        <w:gridCol w:w="1138"/>
        <w:gridCol w:w="1138"/>
      </w:tblGrid>
      <w:tr>
        <w:trPr>
          <w:cantSplit/>
          <w:tblHeader w:val="true"/>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left"/>
            </w:pPr>
            <w:r>
              <w:rPr>
                <w:rFonts w:ascii="Calibri" w:hAnsi="Calibri"/>
                <w:b/>
                <w:color w:val="241449"/>
                <w:sz w:val="18"/>
              </w:rPr>
              <w:t>Voce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Locatore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Conduttore</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e sostituzione integrale dell'impianto o di componenti primari (pompa, serbatoio, elemento rotante, avvolgimento elettrico ecc.)</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Imposte e tasse di impianto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Forza motrice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Ricarico pressione del serbatoio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Ispezioni, collaudi e lettura contatori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bl>
    <w:p>
      <w:pPr>
        <w:pStyle w:val="Heading2"/>
      </w:pPr>
      <w:r>
        <w:t>IMPIANTI DI ILLUMINAZIONE, DI VIDEOCITOFONO, DI VIDEOSORVEGLIANZA E SPECIALI</w:t>
      </w:r>
    </w:p>
    <w:tbl>
      <w:tblPr>
        <w:tblW w:type="dxa" w:w="9026"/>
        <w:jc w:val="left"/>
        <w:tblLayout w:type="fixed"/>
        <w:tblLook w:firstColumn="1" w:firstRow="1" w:lastColumn="0" w:lastRow="0" w:noHBand="0" w:noVBand="1" w:val="04A0"/>
        <w:tblInd w:type="dxa" w:w="120"/>
      </w:tblPr>
      <w:tblGrid>
        <w:gridCol w:w="6750"/>
        <w:gridCol w:w="1138"/>
        <w:gridCol w:w="1138"/>
      </w:tblGrid>
      <w:tr>
        <w:trPr>
          <w:cantSplit/>
          <w:tblHeader w:val="true"/>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left"/>
            </w:pPr>
            <w:r>
              <w:rPr>
                <w:rFonts w:ascii="Calibri" w:hAnsi="Calibri"/>
                <w:b/>
                <w:color w:val="241449"/>
                <w:sz w:val="18"/>
              </w:rPr>
              <w:t>Voce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Locatore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Conduttore</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e sostituzione dell'impianto comune di illuminazione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dell'impianto comune di illuminazione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e sostituzione degli impianti di suoneria e allarme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degli impianti di suoneria e allarme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e sostituzione dei citofoni e videocitofoni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dei citofoni e videocitofoni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e sostituzione di impianti speciali di allarme, sicurezza e simili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di impianti speciali di allarme, sicurezza e simili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e sostituzione di impianti di videosorveglianza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di impianti di videosorveglianza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bl>
    <w:p>
      <w:pPr>
        <w:pStyle w:val="Heading2"/>
      </w:pPr>
      <w:r>
        <w:t>IMPIANTI DI RISCALDAMENTO, CONDIZIONAMENTO, PRODUZIONE ACQUA CALDA, ADDOLCIMENTO ACQUA</w:t>
      </w:r>
    </w:p>
    <w:tbl>
      <w:tblPr>
        <w:tblW w:type="dxa" w:w="9026"/>
        <w:jc w:val="left"/>
        <w:tblLayout w:type="fixed"/>
        <w:tblLook w:firstColumn="1" w:firstRow="1" w:lastColumn="0" w:lastRow="0" w:noHBand="0" w:noVBand="1" w:val="04A0"/>
        <w:tblInd w:type="dxa" w:w="120"/>
      </w:tblPr>
      <w:tblGrid>
        <w:gridCol w:w="6750"/>
        <w:gridCol w:w="1138"/>
        <w:gridCol w:w="1138"/>
      </w:tblGrid>
      <w:tr>
        <w:trPr>
          <w:cantSplit/>
          <w:tblHeader w:val="true"/>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left"/>
            </w:pPr>
            <w:r>
              <w:rPr>
                <w:rFonts w:ascii="Calibri" w:hAnsi="Calibri"/>
                <w:b/>
                <w:color w:val="241449"/>
                <w:sz w:val="18"/>
              </w:rPr>
              <w:t>Voce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Locatore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Conduttore</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e sostituzione degli impianti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Adeguamento degli impianti a leggi e regolamenti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degli impianti, compreso il rivestimento refrattario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Pulizia annuale degli impianti e dei filtri e messa a riposo stagionale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Lettura dei contatori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Acquisto combustibile, consumi di forza motrice, energia elettrica e acqua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bl>
    <w:p>
      <w:pPr>
        <w:pStyle w:val="Heading2"/>
      </w:pPr>
      <w:r>
        <w:t>IMPIANTI SPORTIVI</w:t>
      </w:r>
    </w:p>
    <w:tbl>
      <w:tblPr>
        <w:tblW w:type="dxa" w:w="9026"/>
        <w:jc w:val="left"/>
        <w:tblLayout w:type="fixed"/>
        <w:tblLook w:firstColumn="1" w:firstRow="1" w:lastColumn="0" w:lastRow="0" w:noHBand="0" w:noVBand="1" w:val="04A0"/>
        <w:tblInd w:type="dxa" w:w="120"/>
      </w:tblPr>
      <w:tblGrid>
        <w:gridCol w:w="6750"/>
        <w:gridCol w:w="1138"/>
        <w:gridCol w:w="1138"/>
      </w:tblGrid>
      <w:tr>
        <w:trPr>
          <w:cantSplit/>
          <w:tblHeader w:val="true"/>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left"/>
            </w:pPr>
            <w:r>
              <w:rPr>
                <w:rFonts w:ascii="Calibri" w:hAnsi="Calibri"/>
                <w:b/>
                <w:color w:val="241449"/>
                <w:sz w:val="18"/>
              </w:rPr>
              <w:t>Voce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Locatore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Conduttore</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e manutenzione straordinaria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Addetti (bagnini, pulitori, manutentori ordinari ecc.)</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Consumo di acqua per pulizia e depurazione; acquisto di materiale per la manutenzione ordinaria (es.: terra rossa)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bl>
    <w:p>
      <w:pPr>
        <w:pStyle w:val="Heading2"/>
      </w:pPr>
      <w:r>
        <w:t>IMPIANTO ANTINCENDIO</w:t>
      </w:r>
    </w:p>
    <w:tbl>
      <w:tblPr>
        <w:tblW w:type="dxa" w:w="9026"/>
        <w:jc w:val="left"/>
        <w:tblLayout w:type="fixed"/>
        <w:tblLook w:firstColumn="1" w:firstRow="1" w:lastColumn="0" w:lastRow="0" w:noHBand="0" w:noVBand="1" w:val="04A0"/>
        <w:tblInd w:type="dxa" w:w="120"/>
      </w:tblPr>
      <w:tblGrid>
        <w:gridCol w:w="6750"/>
        <w:gridCol w:w="1138"/>
        <w:gridCol w:w="1138"/>
      </w:tblGrid>
      <w:tr>
        <w:trPr>
          <w:cantSplit/>
          <w:tblHeader w:val="true"/>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left"/>
            </w:pPr>
            <w:r>
              <w:rPr>
                <w:rFonts w:ascii="Calibri" w:hAnsi="Calibri"/>
                <w:b/>
                <w:color w:val="241449"/>
                <w:sz w:val="18"/>
              </w:rPr>
              <w:t>Voce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Locatore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Conduttore</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e sostituzione dell'impianto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Acquisti degli estintori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Ricarica degli estintori, ispezioni e collaudi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bl>
    <w:p>
      <w:pPr>
        <w:pStyle w:val="Heading2"/>
      </w:pPr>
      <w:r>
        <w:t>IMPIANTO TELEVISIVO CENTRALIZZATO E DI RICEZIONE DATI INFORMATIVI</w:t>
      </w:r>
    </w:p>
    <w:tbl>
      <w:tblPr>
        <w:tblW w:type="dxa" w:w="9026"/>
        <w:jc w:val="left"/>
        <w:tblLayout w:type="fixed"/>
        <w:tblLook w:firstColumn="1" w:firstRow="1" w:lastColumn="0" w:lastRow="0" w:noHBand="0" w:noVBand="1" w:val="04A0"/>
        <w:tblInd w:type="dxa" w:w="120"/>
      </w:tblPr>
      <w:tblGrid>
        <w:gridCol w:w="6750"/>
        <w:gridCol w:w="1138"/>
        <w:gridCol w:w="1138"/>
      </w:tblGrid>
      <w:tr>
        <w:trPr>
          <w:cantSplit/>
          <w:tblHeader w:val="true"/>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left"/>
            </w:pPr>
            <w:r>
              <w:rPr>
                <w:rFonts w:ascii="Calibri" w:hAnsi="Calibri"/>
                <w:b/>
                <w:color w:val="241449"/>
                <w:sz w:val="18"/>
              </w:rPr>
              <w:t>Voce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Locatore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Conduttore</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sostituzione o potenziamento dell'impianto televisivo centralizzato e per l'accesso a qualunque altro genere di dato informativo anche via cavo o satellitare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dell'impianto televisivo centralizzato e per l'accesso a qualunque altro genere di dato informativo anche via cavo o satellitare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bl>
    <w:p>
      <w:pPr>
        <w:pStyle w:val="Heading2"/>
      </w:pPr>
      <w:r>
        <w:t>PARTI COMUNI</w:t>
      </w:r>
    </w:p>
    <w:tbl>
      <w:tblPr>
        <w:tblW w:type="dxa" w:w="9026"/>
        <w:jc w:val="left"/>
        <w:tblLayout w:type="fixed"/>
        <w:tblLook w:firstColumn="1" w:firstRow="1" w:lastColumn="0" w:lastRow="0" w:noHBand="0" w:noVBand="1" w:val="04A0"/>
        <w:tblInd w:type="dxa" w:w="120"/>
      </w:tblPr>
      <w:tblGrid>
        <w:gridCol w:w="6750"/>
        <w:gridCol w:w="1138"/>
        <w:gridCol w:w="1138"/>
      </w:tblGrid>
      <w:tr>
        <w:trPr>
          <w:cantSplit/>
          <w:tblHeader w:val="true"/>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left"/>
            </w:pPr>
            <w:r>
              <w:rPr>
                <w:rFonts w:ascii="Calibri" w:hAnsi="Calibri"/>
                <w:b/>
                <w:color w:val="241449"/>
                <w:sz w:val="18"/>
              </w:rPr>
              <w:t>Voce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Locatore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Conduttore</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Sostituzione di grondaie, sifoni e colonne di scarico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grondaie, sifoni e colonne di scarico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straordinaria di tetti e lastrici solari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dei tetti e dei lastrici solari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straordinaria della rete di fognatura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della rete di fognatura, compresa la disotturazione dei condotti e pozzetti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Sostituzione di marmi, corrimano, ringhiere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di pareti, corrimano, ringhiere di scale e locali comuni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Consumo di acqua ed energia elettrica per le parti comuni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e sostituzione di serrature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delle aree verdi, compresa la riparazione degli attrezzi utilizzati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Installazione di attrezzature quali caselle postali, cartelli segnalatori, bidoni, armadietti per contatori, zerbini, tappeti, guide e altro materiale di arredo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di attrezzature quali caselle postali, cartelli segnalatori, bidoni, armadietti per contatori, zerbini, tappeti, guide e altro materiale di arredo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Tassa occupazione suolo pubblico per passo carrabile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Tassa occupazione suolo pubblico per lavori condominiali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bl>
    <w:p>
      <w:pPr>
        <w:pStyle w:val="Heading2"/>
      </w:pPr>
      <w:r>
        <w:t>PARTI INTERNE ALL'APPARTAMENTO LOCATO</w:t>
      </w:r>
    </w:p>
    <w:tbl>
      <w:tblPr>
        <w:tblW w:type="dxa" w:w="9026"/>
        <w:jc w:val="left"/>
        <w:tblLayout w:type="fixed"/>
        <w:tblLook w:firstColumn="1" w:firstRow="1" w:lastColumn="0" w:lastRow="0" w:noHBand="0" w:noVBand="1" w:val="04A0"/>
        <w:tblInd w:type="dxa" w:w="120"/>
      </w:tblPr>
      <w:tblGrid>
        <w:gridCol w:w="6750"/>
        <w:gridCol w:w="1138"/>
        <w:gridCol w:w="1138"/>
      </w:tblGrid>
      <w:tr>
        <w:trPr>
          <w:cantSplit/>
          <w:tblHeader w:val="true"/>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left"/>
            </w:pPr>
            <w:r>
              <w:rPr>
                <w:rFonts w:ascii="Calibri" w:hAnsi="Calibri"/>
                <w:b/>
                <w:color w:val="241449"/>
                <w:sz w:val="18"/>
              </w:rPr>
              <w:t>Voce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Locatore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Conduttore</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Sostituzione integrale di pavimenti e rivestimenti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di pavimenti e rivestimenti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di infissi e serrande, degli impianti di riscaldamento e sanitario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Rifacimento di chiavi e serrature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Tinteggiatura di pareti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Sostituzione di vetri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di apparecchi e condutture di elettricità, del cavo, dell'impianto citofonico e videocitofonico e dell'impianto individuale di videosorveglianza, per la ricezione radiotelevisiva e per l'accesso a qualunque altro genere di dato informativo anche via cavo e satellitare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Verniciatura di opere in legno e metallo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dell'impianto di riscaldamento e condizionamento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straordinaria dell'impianto di riscaldamento e condizionamento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bl>
    <w:p>
      <w:pPr>
        <w:pStyle w:val="Heading2"/>
      </w:pPr>
      <w:r>
        <w:t>PORTIERATO</w:t>
      </w:r>
    </w:p>
    <w:tbl>
      <w:tblPr>
        <w:tblW w:type="dxa" w:w="9026"/>
        <w:jc w:val="left"/>
        <w:tblLayout w:type="fixed"/>
        <w:tblLook w:firstColumn="1" w:firstRow="1" w:lastColumn="0" w:lastRow="0" w:noHBand="0" w:noVBand="1" w:val="04A0"/>
        <w:tblInd w:type="dxa" w:w="120"/>
      </w:tblPr>
      <w:tblGrid>
        <w:gridCol w:w="6750"/>
        <w:gridCol w:w="1138"/>
        <w:gridCol w:w="1138"/>
      </w:tblGrid>
      <w:tr>
        <w:trPr>
          <w:cantSplit/>
          <w:tblHeader w:val="true"/>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left"/>
            </w:pPr>
            <w:r>
              <w:rPr>
                <w:rFonts w:ascii="Calibri" w:hAnsi="Calibri"/>
                <w:b/>
                <w:color w:val="241449"/>
                <w:sz w:val="18"/>
              </w:rPr>
              <w:t>Voce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Locatore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Conduttore</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Trattamento economico del portiere e del sostituto, compresi contributi previdenziali e assicurativi, accantonamento liquidazione, tredicesima, premi, ferie e indennità varie, anche locali, come da c.c.n.l.</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10%</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90%</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Materiale per le pulizie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Indennità sostitutiva alloggio portiere prevista nel c.c.n.l.</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10%</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90%</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della guardiola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10%</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90%</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straordinaria della guardiola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bl>
    <w:p>
      <w:pPr>
        <w:pStyle w:val="Heading2"/>
      </w:pPr>
      <w:r>
        <w:t>PULIZIA</w:t>
      </w:r>
    </w:p>
    <w:tbl>
      <w:tblPr>
        <w:tblW w:type="dxa" w:w="9026"/>
        <w:jc w:val="left"/>
        <w:tblLayout w:type="fixed"/>
        <w:tblLook w:firstColumn="1" w:firstRow="1" w:lastColumn="0" w:lastRow="0" w:noHBand="0" w:noVBand="1" w:val="04A0"/>
        <w:tblInd w:type="dxa" w:w="120"/>
      </w:tblPr>
      <w:tblGrid>
        <w:gridCol w:w="6750"/>
        <w:gridCol w:w="1138"/>
        <w:gridCol w:w="1138"/>
      </w:tblGrid>
      <w:tr>
        <w:trPr>
          <w:cantSplit/>
          <w:tblHeader w:val="true"/>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left"/>
            </w:pPr>
            <w:r>
              <w:rPr>
                <w:rFonts w:ascii="Calibri" w:hAnsi="Calibri"/>
                <w:b/>
                <w:color w:val="241449"/>
                <w:sz w:val="18"/>
              </w:rPr>
              <w:t>Voce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Locatore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Conduttore</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Spese per l'assunzione dell'addetto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Trattamento economico dell'addetto, compresi contributi previdenziali e assicurativi, accantonamento liquidazione, tredicesima, premi, ferie e indennità varie, anche locali, come da c.c.n.l.</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Spese per il conferimento dell'appalto a ditta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Spese per le pulizie appaltate a ditta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Materiale per le pulizie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Acquisto e sostituzione macchinari per la pulizia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Manutenzione ordinaria dei macchinari per la pulizia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Derattizzazione e disinfestazione dei locali legati alla raccolta delle immondizie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Disinfestazione di bidoni e contenitori di rifiuti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Tassa rifiuti o tariffa sostitutiva</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Acquisto di bidoni, trespoli e contenitori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Sacchi per la preraccolta dei rifiuti</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bl>
    <w:p>
      <w:pPr>
        <w:pStyle w:val="Heading2"/>
      </w:pPr>
      <w:r>
        <w:t>SGOMBERO NEVE</w:t>
      </w:r>
    </w:p>
    <w:tbl>
      <w:tblPr>
        <w:tblW w:type="dxa" w:w="9026"/>
        <w:jc w:val="left"/>
        <w:tblLayout w:type="fixed"/>
        <w:tblLook w:firstColumn="1" w:firstRow="1" w:lastColumn="0" w:lastRow="0" w:noHBand="0" w:noVBand="1" w:val="04A0"/>
        <w:tblInd w:type="dxa" w:w="120"/>
      </w:tblPr>
      <w:tblGrid>
        <w:gridCol w:w="6750"/>
        <w:gridCol w:w="1138"/>
        <w:gridCol w:w="1138"/>
      </w:tblGrid>
      <w:tr>
        <w:trPr>
          <w:cantSplit/>
          <w:tblHeader w:val="true"/>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left"/>
            </w:pPr>
            <w:r>
              <w:rPr>
                <w:rFonts w:ascii="Calibri" w:hAnsi="Calibri"/>
                <w:b/>
                <w:color w:val="241449"/>
                <w:sz w:val="18"/>
              </w:rPr>
              <w:t>Voce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Locatore</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Conduttore</w:t>
            </w:r>
          </w:p>
        </w:tc>
      </w:tr>
      <w:tr>
        <w:trPr>
          <w:cantSplit/>
        </w:trPr>
        <w:tc>
          <w:tcPr>
            <w:tcW w:type="dxa" w:w="675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Spese relative al servizio, compresi i materiali d'uso</w:t>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0262E"/>
                <w:sz w:val="18"/>
              </w:rPr>
            </w:r>
          </w:p>
        </w:tc>
        <w:tc>
          <w:tcPr>
            <w:tcW w:type="dxa" w:w="113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color w:val="20262E"/>
                <w:sz w:val="18"/>
              </w:rPr>
              <w:t>X</w:t>
            </w:r>
          </w:p>
        </w:tc>
      </w:tr>
    </w:tbl>
    <w:p>
      <w:pPr>
        <w:pStyle w:val="CFSmallNote"/>
      </w:pPr>
      <w:r>
        <w:t>Legenda: L = locatore · C = conduttore.</w:t>
      </w:r>
    </w:p>
    <w:p>
      <w:pPr>
        <w:pStyle w:val="Heading1"/>
      </w:pPr>
      <w:r>
        <w:t>Fonti, limiti e prossimo passo</w:t>
      </w:r>
    </w:p>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F8F6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spacing w:before="0"/>
            </w:pPr>
            <w:r>
              <w:rPr>
                <w:rFonts w:ascii="Calibri" w:hAnsi="Calibri"/>
                <w:b/>
                <w:color w:val="7A5A00"/>
                <w:sz w:val="21"/>
              </w:rPr>
              <w:t xml:space="preserve">LIMITI D'USO. </w:t>
            </w:r>
            <w:r>
              <w:rPr>
                <w:rFonts w:ascii="Calibri" w:hAnsi="Calibri"/>
                <w:color w:val="20262E"/>
                <w:sz w:val="21"/>
              </w:rPr>
              <w:t>Fac-simile editoriale da completare, adattare al caso concreto e sottoscrivere. Non è un modello ministeriale, non è consulenza legale e non certifica alcunché. Prima di far firmare il testo elimina la pagina di istruzioni iniziale, le sezioni il cui titolo dice «elenco di lavoro», il Controllo finale e questa pagina. Conserva tutto il resto, allegati compresi: la scheda 1 e le sezioni numerate fanno parte del contratto.</w:t>
            </w:r>
          </w:p>
        </w:tc>
      </w:tr>
    </w:tbl>
    <w:p>
      <w:pPr>
        <w:pStyle w:val="Heading2"/>
      </w:pPr>
      <w:r>
        <w:t>Fonti</w:t>
      </w:r>
    </w:p>
    <w:p>
      <w:pPr>
        <w:pStyle w:val="CFSource"/>
      </w:pPr>
      <w:hyperlink r:id="rId13">
        <w:r>
          <w:rPr>
            <w:rStyle w:val="Hyperlink"/>
            <w:color w:val="542CF2"/>
            <w:u w:val="single"/>
            <w:rFonts w:ascii="Calibri" w:hAnsi="Calibri"/>
            <w:sz w:val="17"/>
            <w:szCs w:val="17"/>
          </w:rPr>
          <w:t>Legge 431/1998, articoli 2 comma 1 e 3</w:t>
        </w:r>
      </w:hyperlink>
    </w:p>
    <w:p>
      <w:pPr>
        <w:pStyle w:val="CFSource"/>
      </w:pPr>
      <w:hyperlink r:id="rId14">
        <w:r>
          <w:rPr>
            <w:rStyle w:val="Hyperlink"/>
            <w:color w:val="542CF2"/>
            <w:u w:val="single"/>
            <w:rFonts w:ascii="Calibri" w:hAnsi="Calibri"/>
            <w:sz w:val="17"/>
            <w:szCs w:val="17"/>
          </w:rPr>
          <w:t>Legge 392/1978, articolo 32 - aggiornamento del canone</w:t>
        </w:r>
      </w:hyperlink>
    </w:p>
    <w:p>
      <w:pPr>
        <w:pStyle w:val="CFSource"/>
      </w:pPr>
      <w:hyperlink r:id="rId15">
        <w:r>
          <w:rPr>
            <w:rStyle w:val="Hyperlink"/>
            <w:color w:val="542CF2"/>
            <w:u w:val="single"/>
            <w:rFonts w:ascii="Calibri" w:hAnsi="Calibri"/>
            <w:sz w:val="17"/>
            <w:szCs w:val="17"/>
          </w:rPr>
          <w:t>D.Lgs. 23/2011, articolo 3 - cedolare secca</w:t>
        </w:r>
      </w:hyperlink>
    </w:p>
    <w:p>
      <w:pPr>
        <w:pStyle w:val="CFSource"/>
      </w:pPr>
      <w:hyperlink r:id="rId16">
        <w:r>
          <w:rPr>
            <w:rStyle w:val="Hyperlink"/>
            <w:color w:val="542CF2"/>
            <w:u w:val="single"/>
            <w:rFonts w:ascii="Calibri" w:hAnsi="Calibri"/>
            <w:sz w:val="17"/>
            <w:szCs w:val="17"/>
          </w:rPr>
          <w:t>DPR 131/1986 - Testo unico dell'imposta di registro</w:t>
        </w:r>
      </w:hyperlink>
    </w:p>
    <w:p>
      <w:pPr>
        <w:pStyle w:val="CFSource"/>
      </w:pPr>
      <w:hyperlink r:id="rId17">
        <w:r>
          <w:rPr>
            <w:rStyle w:val="Hyperlink"/>
            <w:color w:val="542CF2"/>
            <w:u w:val="single"/>
            <w:rFonts w:ascii="Calibri" w:hAnsi="Calibri"/>
            <w:sz w:val="17"/>
            <w:szCs w:val="17"/>
          </w:rPr>
          <w:t>Agenzia delle Entrate - RLI Web e istruzioni vigenti</w:t>
        </w:r>
      </w:hyperlink>
    </w:p>
    <w:p>
      <w:pPr>
        <w:pStyle w:val="CFSource"/>
      </w:pPr>
      <w:hyperlink r:id="rId18">
        <w:r>
          <w:rPr>
            <w:rStyle w:val="Hyperlink"/>
            <w:color w:val="542CF2"/>
            <w:u w:val="single"/>
            <w:rFonts w:ascii="Calibri" w:hAnsi="Calibri"/>
            <w:sz w:val="17"/>
            <w:szCs w:val="17"/>
          </w:rPr>
          <w:t>D.Lgs. 192/2005, articolo 6 - APE</w:t>
        </w:r>
      </w:hyperlink>
    </w:p>
    <w:p>
      <w:pPr>
        <w:pStyle w:val="Heading2"/>
      </w:pPr>
      <w:r>
        <w:t>Continua solo se ti serve</w:t>
      </w:r>
    </w:p>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EEE9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spacing w:before="0"/>
            </w:pPr>
            <w:r>
              <w:rPr>
                <w:rFonts w:ascii="Calibri" w:hAnsi="Calibri"/>
                <w:b/>
                <w:color w:val="241449"/>
                <w:sz w:val="22"/>
              </w:rPr>
              <w:t xml:space="preserve">Fatti redigere il contratto: </w:t>
            </w:r>
            <w:hyperlink r:id="rId19">
              <w:r>
                <w:rPr>
                  <w:rStyle w:val="Hyperlink"/>
                  <w:color w:val="542CF2"/>
                  <w:u w:val="single"/>
                  <w:rFonts w:ascii="Calibri" w:hAnsi="Calibri"/>
                  <w:sz w:val="20"/>
                  <w:szCs w:val="20"/>
                  <w:b/>
                </w:rPr>
                <w:t>https://concordatofacile.it/canone-libero#richiedi</w:t>
              </w:r>
            </w:hyperlink>
          </w:p>
        </w:tc>
      </w:tr>
    </w:tbl>
    <w:sectPr w:rsidR="00FC693F" w:rsidRPr="0006063C" w:rsidSect="00034616">
      <w:headerReference w:type="even" r:id="rId9"/>
      <w:footerReference w:type="even" r:id="rId10"/>
      <w:headerReference w:type="default" r:id="rId11"/>
      <w:footerReference w:type="default" r:id="rId1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026" w:val="right"/>
      </w:tabs>
      <w:spacing w:before="0" w:after="0"/>
      <w:pBdr>
        <w:top w:val="single" w:sz="5" w:space="4" w:color="CBC2F5"/>
      </w:pBdr>
    </w:pPr>
    <w:r>
      <w:rPr>
        <w:rFonts w:ascii="Calibri" w:hAnsi="Calibri"/>
        <w:color w:val="5F6B7A"/>
        <w:sz w:val="17"/>
      </w:rPr>
      <w:t xml:space="preserve">Pagina </w:t>
    </w:r>
    <w:r>
      <w:rPr>
        <w:rFonts w:ascii="Calibri" w:hAnsi="Calibri"/>
        <w:color w:val="5F6B7A"/>
        <w:sz w:val="17"/>
      </w:rPr>
      <w:fldChar w:fldCharType="begin"/>
      <w:instrText xml:space="preserve"> PAGE </w:instrText>
      <w:fldChar w:fldCharType="separate"/>
      <w:t>1</w:t>
      <w:fldChar w:fldCharType="end"/>
    </w:r>
    <w:r>
      <w:rPr>
        <w:rFonts w:ascii="Calibri" w:hAnsi="Calibri"/>
        <w:color w:val="5F6B7A"/>
        <w:sz w:val="17"/>
      </w:rPr>
      <w:tab/>
      <w:t>Fac-simile editoriale | Adattare al caso concreto</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026" w:val="right"/>
      </w:tabs>
      <w:spacing w:before="0" w:after="0"/>
      <w:pBdr>
        <w:top w:val="single" w:sz="5" w:space="4" w:color="CBC2F5"/>
      </w:pBdr>
    </w:pPr>
    <w:r>
      <w:rPr>
        <w:rFonts w:ascii="Calibri" w:hAnsi="Calibri"/>
        <w:color w:val="5F6B7A"/>
        <w:sz w:val="17"/>
      </w:rPr>
      <w:t>Fac-simile editoriale | Adattare al caso concreto</w:t>
    </w:r>
    <w:r>
      <w:rPr>
        <w:rFonts w:ascii="Calibri" w:hAnsi="Calibri"/>
        <w:color w:val="5F6B7A"/>
        <w:sz w:val="17"/>
      </w:rPr>
      <w:tab/>
      <w:t xml:space="preserve">Pagina </w:t>
    </w:r>
    <w:r>
      <w:rPr>
        <w:rFonts w:ascii="Calibri" w:hAnsi="Calibri"/>
        <w:color w:val="5F6B7A"/>
        <w:sz w:val="17"/>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026" w:val="right"/>
      </w:tabs>
      <w:spacing w:before="0" w:after="0"/>
      <w:pBdr>
        <w:bottom w:val="single" w:sz="5" w:space="4" w:color="CBC2F5"/>
      </w:pBdr>
    </w:pPr>
    <w:r>
      <w:rPr>
        <w:rFonts w:ascii="Calibri" w:hAnsi="Calibri"/>
        <w:color w:val="5F6B7A"/>
        <w:sz w:val="17"/>
      </w:rPr>
      <w:t>Contratto a canone libero 4+4</w:t>
    </w:r>
    <w:r>
      <w:rPr>
        <w:rFonts w:ascii="Calibri" w:hAnsi="Calibri"/>
        <w:b/>
        <w:color w:val="5F6B7A"/>
        <w:sz w:val="17"/>
      </w:rPr>
      <w:tab/>
      <w:t>ConcordatoFacile | Risorsa gratuita</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026" w:val="right"/>
      </w:tabs>
      <w:spacing w:before="0" w:after="0"/>
      <w:pBdr>
        <w:bottom w:val="single" w:sz="5" w:space="4" w:color="CBC2F5"/>
      </w:pBdr>
    </w:pPr>
    <w:r>
      <w:rPr>
        <w:rFonts w:ascii="Calibri" w:hAnsi="Calibri"/>
        <w:b/>
        <w:color w:val="5F6B7A"/>
        <w:sz w:val="17"/>
      </w:rPr>
      <w:t>ConcordatoFacile | Risorsa gratuita</w:t>
    </w:r>
    <w:r>
      <w:rPr>
        <w:rFonts w:ascii="Calibri" w:hAnsi="Calibri"/>
        <w:color w:val="5F6B7A"/>
        <w:sz w:val="17"/>
      </w:rPr>
      <w:tab/>
      <w:t>Contratto a canone libero 4+4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70"/>
        <w:spacing w:after="80" w:line="300" w:lineRule="auto"/>
      </w:pPr>
    </w:lvl>
  </w:abstractNum>
  <w:num w:numId="10">
    <w:abstractNumId w:val="9"/>
  </w:num>
  <w:abstractNum w:abstractNumId="10">
    <w:multiLevelType w:val="singleLevel"/>
    <w:lvl w:ilvl="0">
      <w:start w:val="1"/>
      <w:numFmt w:val="bullet"/>
      <w:lvlText w:val="•"/>
      <w:lvlJc w:val="left"/>
      <w:pPr>
        <w:tabs>
          <w:tab w:val="num" w:pos="540"/>
        </w:tabs>
        <w:ind w:left="540" w:hanging="270"/>
        <w:spacing w:after="80" w:line="300" w:lineRule="auto"/>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300" w:lineRule="auto"/>
    </w:pPr>
    <w:rPr>
      <w:rFonts w:ascii="Calibri" w:hAnsi="Calibri"/>
      <w:b w:val="0"/>
      <w:i w:val="0"/>
      <w:color w:val="20262E"/>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i w:val="0"/>
      <w:color w:val="542CF2"/>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i w:val="0"/>
      <w:color w:val="542CF2"/>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i w:val="0"/>
      <w:color w:val="2A157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pPr>
    <w:rPr>
      <w:rFonts w:asciiTheme="majorHAnsi" w:eastAsiaTheme="majorEastAsia" w:hAnsiTheme="majorHAnsi" w:cstheme="majorBidi" w:ascii="Calibri" w:hAnsi="Calibri"/>
      <w:b/>
      <w:i w:val="0"/>
      <w:color w:val="24144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76" w:lineRule="auto"/>
    </w:pPr>
    <w:rPr>
      <w:rFonts w:asciiTheme="majorHAnsi" w:eastAsiaTheme="majorEastAsia" w:hAnsiTheme="majorHAnsi" w:cstheme="majorBidi" w:ascii="Calibri" w:hAnsi="Calibri"/>
      <w:b w:val="0"/>
      <w:i w:val="0"/>
      <w:iCs/>
      <w:color w:val="5F6B7A"/>
      <w:spacing w:val="15"/>
      <w:sz w:val="2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FKicker">
    <w:name w:val="CF Kicker"/>
    <w:basedOn w:val="Normal"/>
    <w:pPr>
      <w:keepNext/>
      <w:spacing w:before="0" w:after="40" w:line="240" w:lineRule="auto"/>
    </w:pPr>
    <w:rPr>
      <w:rFonts w:ascii="Calibri" w:hAnsi="Calibri"/>
      <w:b/>
      <w:i w:val="0"/>
      <w:color w:val="7A5A00"/>
      <w:sz w:val="19"/>
    </w:rPr>
  </w:style>
  <w:style w:type="paragraph" w:customStyle="1" w:styleId="CFTableText">
    <w:name w:val="CF Table Text"/>
    <w:basedOn w:val="Normal"/>
    <w:pPr>
      <w:keepNext w:val="0"/>
      <w:spacing w:before="0" w:after="20" w:line="259" w:lineRule="auto"/>
    </w:pPr>
    <w:rPr>
      <w:rFonts w:ascii="Calibri" w:hAnsi="Calibri"/>
      <w:b w:val="0"/>
      <w:i w:val="0"/>
      <w:color w:val="20262E"/>
      <w:sz w:val="18"/>
    </w:rPr>
  </w:style>
  <w:style w:type="paragraph" w:customStyle="1" w:styleId="CFTableHeader">
    <w:name w:val="CF Table Header"/>
    <w:basedOn w:val="Normal"/>
    <w:pPr>
      <w:keepNext w:val="0"/>
      <w:spacing w:before="0" w:after="0" w:line="240" w:lineRule="auto"/>
    </w:pPr>
    <w:rPr>
      <w:rFonts w:ascii="Calibri" w:hAnsi="Calibri"/>
      <w:b/>
      <w:i w:val="0"/>
      <w:color w:val="241449"/>
      <w:sz w:val="18"/>
    </w:rPr>
  </w:style>
  <w:style w:type="paragraph" w:customStyle="1" w:styleId="CFSmallNote">
    <w:name w:val="CF Small Note"/>
    <w:basedOn w:val="Normal"/>
    <w:pPr>
      <w:keepNext w:val="0"/>
      <w:spacing w:before="0" w:after="60" w:line="264" w:lineRule="auto"/>
    </w:pPr>
    <w:rPr>
      <w:rFonts w:ascii="Calibri" w:hAnsi="Calibri"/>
      <w:b w:val="0"/>
      <w:i w:val="0"/>
      <w:color w:val="5F6B7A"/>
      <w:sz w:val="17"/>
    </w:rPr>
  </w:style>
  <w:style w:type="paragraph" w:customStyle="1" w:styleId="CFSource">
    <w:name w:val="CF Source"/>
    <w:basedOn w:val="Normal"/>
    <w:pPr>
      <w:keepNext w:val="0"/>
      <w:spacing w:before="80" w:after="80" w:line="264" w:lineRule="auto"/>
    </w:pPr>
    <w:rPr>
      <w:rFonts w:ascii="Calibri" w:hAnsi="Calibri"/>
      <w:b w:val="0"/>
      <w:i w:val="0"/>
      <w:color w:val="5F6B7A"/>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www.normattiva.it/uri-res/N2Ls?urn:nir:stato:legge:1998-12-09;431" TargetMode="External"/><Relationship Id="rId14" Type="http://schemas.openxmlformats.org/officeDocument/2006/relationships/hyperlink" Target="https://www.normattiva.it/uri-res/N2Ls?urn:nir:stato:legge:1978-07-27;392" TargetMode="External"/><Relationship Id="rId15" Type="http://schemas.openxmlformats.org/officeDocument/2006/relationships/hyperlink" Target="https://www.normattiva.it/uri-res/N2Ls?urn:nir:stato:decreto.legislativo:2011-03-14;23~art3" TargetMode="External"/><Relationship Id="rId16" Type="http://schemas.openxmlformats.org/officeDocument/2006/relationships/hyperlink" Target="https://www.normattiva.it/uri-res/N2Ls?urn:nir:presidente.repubblica:decreto:1986-04-26;131" TargetMode="External"/><Relationship Id="rId17" Type="http://schemas.openxmlformats.org/officeDocument/2006/relationships/hyperlink" Target="https://apptel.agenziaentrate.gov.it/RliWeb/home" TargetMode="External"/><Relationship Id="rId18" Type="http://schemas.openxmlformats.org/officeDocument/2006/relationships/hyperlink" Target="https://www.normattiva.it/uri-res/N2Ls?urn:nir:stato:decreto.legislativo:2005-08-19;192~art6" TargetMode="External"/><Relationship Id="rId19" Type="http://schemas.openxmlformats.org/officeDocument/2006/relationships/hyperlink" Target="https://concordatofacile.it/canone-libero#richi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a canone libero 4+4</dc:title>
  <dc:subject>Fac-simile editoriale di contratto di locazione a uso abitativo a canone libero, ai sensi dell'art. 2, comma 1, della legge 431/1998.</dc:subject>
  <dc:creator>python-docx</dc:creator>
  <cp:keywords>contratto locazione canone libero, 4+4, fac-simile, legge 431/1998</cp:keywords>
  <dc:description>generated by python-docx</dc:description>
  <cp:lastModifiedBy>ConcordatoFacile</cp:lastModifiedBy>
  <cp:revision>1</cp:revision>
  <dcterms:created xsi:type="dcterms:W3CDTF">2013-12-23T23:15:00Z</dcterms:created>
  <dcterms:modified xsi:type="dcterms:W3CDTF">2013-12-23T23:15:00Z</dcterms:modified>
  <cp:category/>
</cp:coreProperties>
</file>