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FKicker"/>
      </w:pPr>
      <w:r>
        <w:rPr>
          <w:rFonts w:ascii="Calibri" w:hAnsi="Calibri"/>
          <w:b/>
          <w:color w:val="7A5A00"/>
          <w:sz w:val="19"/>
        </w:rPr>
        <w:t>RISORSA GRATUITA | FAC-SIMILE EDITORIALE</w:t>
      </w:r>
    </w:p>
    <w:p>
      <w:pPr>
        <w:pStyle w:val="Title"/>
      </w:pPr>
      <w:r>
        <w:t>Contratto preliminare di compravendita</w:t>
      </w:r>
    </w:p>
    <w:p>
      <w:pPr>
        <w:pStyle w:val="Subtitle"/>
      </w:pPr>
      <w:r>
        <w:t>Fac-simile editoriale di contratto preliminare di compravendita immobiliare, da completare con le verifiche e da sottoporre al notaio.</w:t>
      </w:r>
    </w:p>
    <w:tbl>
      <w:tblPr>
        <w:tblW w:type="dxa" w:w="9026"/>
        <w:jc w:val="left"/>
        <w:tblLayout w:type="fixed"/>
        <w:tblLook w:firstColumn="1" w:firstRow="1" w:lastColumn="0" w:lastRow="0" w:noHBand="0" w:noVBand="1" w:val="04A0"/>
        <w:tblInd w:type="dxa" w:w="120"/>
      </w:tblPr>
      <w:tblGrid>
        <w:gridCol w:w="1157"/>
        <w:gridCol w:w="2681"/>
        <w:gridCol w:w="1543"/>
        <w:gridCol w:w="3645"/>
      </w:tblGrid>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Formato</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Compilabile e stampabile</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Versione</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1.0</w:t>
            </w:r>
          </w:p>
        </w:tc>
      </w:tr>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Revisione editoriale</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 settembre 2026</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Prossimo passo</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Servizi immobiliari online</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IMPORTANTE. </w:t>
            </w:r>
            <w:r>
              <w:rPr>
                <w:rFonts w:ascii="Calibri" w:hAnsi="Calibri"/>
                <w:color w:val="20262E"/>
                <w:sz w:val="21"/>
              </w:rPr>
              <w:t>Un preliminare firmato vincola davvero: chi non adempie può essere costretto in giudizio a concludere il contratto definitivo. Fai eseguire le verifiche su titolo, ipoteche, urbanistica e catasto PRIMA della firma, e fai leggere il testo al notaio che curerà il rogito. Va registrato entro 30 giorni con il modello RAP. NON usare questo fac-simile se acquisti da un'impresa un immobile da costruire o non ultimato il cui titolo edilizio sia stato richiesto o rilasciato dal 16 marzo 2019: lì il preliminare va stipulato dal notaio per atto pubblico o scrittura privata autenticata (forma che ne consente anche la trascrizione) e il costruttore deve consegnarti la fideiussione, a pena di nullità che solo tu acquirente puoi far valere (D.Lgs. 122/2005).</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AVVISO LEGALE. </w:t>
            </w:r>
            <w:r>
              <w:rPr>
                <w:rFonts w:ascii="Calibri" w:hAnsi="Calibri"/>
                <w:color w:val="20262E"/>
                <w:sz w:val="21"/>
              </w:rPr>
              <w:t>Questo fac-simile è una base editoriale predisposta dalla redazione ConcordatoFacile: non è un modello ministeriale, non costituisce consulenza legale e non certifica nulla. Prima della firma fallo verificare da un legale di fiducia, o affidaci la redazione del contratto.</w:t>
            </w:r>
          </w:p>
        </w:tc>
      </w:tr>
    </w:tbl>
    <w:p>
      <w:pPr>
        <w:pStyle w:val="Heading2"/>
      </w:pPr>
      <w:r>
        <w:t>Come usare la scheda</w:t>
      </w:r>
    </w:p>
    <w:p>
      <w:pPr>
        <w:numPr>
          <w:ilvl w:val="0"/>
          <w:numId w:val="10"/>
        </w:numPr>
        <w:spacing w:after="80" w:line="300" w:lineRule="auto"/>
      </w:pPr>
      <w:r>
        <w:rPr>
          <w:rFonts w:ascii="Calibri" w:hAnsi="Calibri"/>
          <w:color w:val="20262E"/>
          <w:sz w:val="22"/>
        </w:rPr>
        <w:t>Escludi subito il caso sbagliato: se acquisti da un'impresa un immobile da costruire o non ultimato, questo modello non va usato — la legge impone il notaio.</w:t>
      </w:r>
    </w:p>
    <w:p>
      <w:pPr>
        <w:numPr>
          <w:ilvl w:val="0"/>
          <w:numId w:val="10"/>
        </w:numPr>
        <w:spacing w:after="80" w:line="300" w:lineRule="auto"/>
      </w:pPr>
      <w:r>
        <w:rPr>
          <w:rFonts w:ascii="Calibri" w:hAnsi="Calibri"/>
          <w:color w:val="20262E"/>
          <w:sz w:val="22"/>
        </w:rPr>
        <w:t>Verifica chi può vendere: tutti i proprietari, gli eredi, il coniuge in comunione dei beni.</w:t>
      </w:r>
    </w:p>
    <w:p>
      <w:pPr>
        <w:numPr>
          <w:ilvl w:val="0"/>
          <w:numId w:val="10"/>
        </w:numPr>
        <w:spacing w:after="80" w:line="300" w:lineRule="auto"/>
      </w:pPr>
      <w:r>
        <w:rPr>
          <w:rFonts w:ascii="Calibri" w:hAnsi="Calibri"/>
          <w:color w:val="20262E"/>
          <w:sz w:val="22"/>
        </w:rPr>
        <w:t>Controlla ipoteche, pignoramenti e vincoli con una visura ipotecaria aggiornata alla data della firma.</w:t>
      </w:r>
    </w:p>
    <w:p>
      <w:pPr>
        <w:numPr>
          <w:ilvl w:val="0"/>
          <w:numId w:val="10"/>
        </w:numPr>
        <w:spacing w:after="80" w:line="300" w:lineRule="auto"/>
      </w:pPr>
      <w:r>
        <w:rPr>
          <w:rFonts w:ascii="Calibri" w:hAnsi="Calibri"/>
          <w:color w:val="20262E"/>
          <w:sz w:val="22"/>
        </w:rPr>
        <w:t>Accerta la conformità urbanistica e catastale: sono le due cause più frequenti di rogito bloccato.</w:t>
      </w:r>
    </w:p>
    <w:p>
      <w:pPr>
        <w:numPr>
          <w:ilvl w:val="0"/>
          <w:numId w:val="10"/>
        </w:numPr>
        <w:spacing w:after="80" w:line="300" w:lineRule="auto"/>
      </w:pPr>
      <w:r>
        <w:rPr>
          <w:rFonts w:ascii="Calibri" w:hAnsi="Calibri"/>
          <w:color w:val="20262E"/>
          <w:sz w:val="22"/>
        </w:rPr>
        <w:t>Distingui con precisione caparra confirmatoria, caparra penitenziale e acconto sul prezzo: la qualificazione cambia effetti e imposte.</w:t>
      </w:r>
    </w:p>
    <w:p>
      <w:pPr>
        <w:numPr>
          <w:ilvl w:val="0"/>
          <w:numId w:val="10"/>
        </w:numPr>
        <w:spacing w:after="80" w:line="300" w:lineRule="auto"/>
      </w:pPr>
      <w:r>
        <w:rPr>
          <w:rFonts w:ascii="Calibri" w:hAnsi="Calibri"/>
          <w:color w:val="20262E"/>
          <w:sz w:val="22"/>
        </w:rPr>
        <w:t>Registra il preliminare entro 30 giorni con il modello RAP e conserva la ricevuta.</w:t>
      </w:r>
    </w:p>
    <w:p>
      <w:pPr>
        <w:spacing w:before="0" w:after="0"/>
      </w:pPr>
      <w:r>
        <w:br w:type="page"/>
      </w:r>
    </w:p>
    <w:p>
      <w:pPr>
        <w:pStyle w:val="Heading1"/>
      </w:pPr>
      <w:r>
        <w:t>1. Parti e immobile</w:t>
      </w:r>
    </w:p>
    <w:tbl>
      <w:tblPr>
        <w:tblW w:type="dxa" w:w="9026"/>
        <w:jc w:val="left"/>
        <w:tblLayout w:type="fixed"/>
        <w:tblLook w:firstColumn="1" w:firstRow="1" w:lastColumn="0" w:lastRow="0" w:noHBand="0" w:noVBand="1" w:val="04A0"/>
        <w:tblInd w:type="dxa" w:w="120"/>
      </w:tblPr>
      <w:tblGrid>
        <w:gridCol w:w="2748"/>
        <w:gridCol w:w="6278"/>
      </w:tblGrid>
      <w:tr>
        <w:trPr>
          <w:cantSplit/>
          <w:tblHeader w:val="true"/>
        </w:trPr>
        <w:tc>
          <w:tcPr>
            <w:tcW w:type="dxa" w:w="274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Dato da raccogliere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Compilazione / riferimento</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Promittente venditore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Stato civile e regime patrimoniale: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Promissario acquirente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Immobile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Comune: __________  Indirizzo: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Dati catastali</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Foglio: ______  Particella: ______  Sub: ______  Categoria: ______  Rendita: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Confini</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____________________________  Piano: ______  Vani: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Pertinenze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cantina  □ box / posto auto  □ soffitta  □ altro: 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Provenienza</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Atto del ____ / ____ / ______  Notaio: ____________  Repertorio: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Mediatore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nessuno  □ agenzia: ____________________  Provvigione: ______________</w:t>
            </w:r>
          </w:p>
        </w:tc>
      </w:tr>
    </w:tbl>
    <w:p>
      <w:pPr>
        <w:pStyle w:val="Heading1"/>
      </w:pPr>
      <w:r>
        <w:t>2. Testo del preliminare</w:t>
      </w:r>
    </w:p>
    <w:p>
      <w:pPr>
        <w:pStyle w:val="Heading2"/>
        <w:keepNext/>
      </w:pPr>
      <w:r>
        <w:t>Articolo 1 — Oggetto e obbligo di concludere il definitivo</w:t>
      </w:r>
    </w:p>
    <w:p>
      <w:pPr>
        <w:jc w:val="both"/>
      </w:pPr>
      <w:r>
        <w:t>Il promittente venditore promette di vendere e il promissario acquirente promette di acquistare l'immobile descritto nella scheda «1. Parti e immobile», che le parti dichiarano di aver compilato e che forma parte integrante del presente contratto, alle condizioni di seguito convenute.</w:t>
      </w:r>
    </w:p>
    <w:p>
      <w:pPr>
        <w:jc w:val="both"/>
      </w:pPr>
      <w:r>
        <w:t>Le parti si obbligano a stipulare il contratto definitivo di compravendita nel termine e con le modalità previste dagli articoli che seguono. Il presente contratto è redatto per iscritto ai sensi dell'articolo 1351 del codice civile.</w:t>
      </w:r>
    </w:p>
    <w:p>
      <w:pPr>
        <w:pStyle w:val="Heading2"/>
        <w:keepNext/>
      </w:pPr>
      <w:r>
        <w:t>Articolo 2 — Prezzo e modalità di pagamento</w:t>
      </w:r>
    </w:p>
    <w:p>
      <w:pPr>
        <w:jc w:val="left"/>
      </w:pPr>
      <w:r>
        <w:t>Il prezzo della compravendita è convenuto in euro ______________ (____________________________________), da corrispondersi con mezzi tracciabili secondo il piano indicato al comma seguente.</w:t>
      </w:r>
    </w:p>
    <w:p>
      <w:pPr>
        <w:jc w:val="left"/>
      </w:pPr>
      <w:r>
        <w:t>Alla firma del presente contratto: euro ______________. In data ____ / ____ / ______: euro ______________. Alla stipula del definitivo, a saldo: euro ______________. Ogni pagamento è effettuato con bonifico o assegno circolare, e gli estremi sono riportati nell'atto definitivo.</w:t>
      </w:r>
    </w:p>
    <w:p>
      <w:pPr>
        <w:jc w:val="left"/>
      </w:pPr>
      <w:r>
        <w:t>□ Il prezzo è finanziato in tutto o in parte da mutuo bancario per euro ______________. Il promissario acquirente si obbliga a presentare domanda completa di finanziamento entro il ____ / ____ / ______ e a darne prova. Le parti convengono che il presente contratto si risolva di diritto, come condizione risolutiva espressa, se l'istituto di credito non delibera il finanziamento entro il ____ / ____ / ______: in tal caso ogni somma versata è restituita senza interessi, senza ritenzione e senza obbligo di corrispondere il doppio della caparra. La condizione non opera a favore del promissario acquirente che non abbia presentato la domanda nei termini. Eliminare la clausola se non ricorre.</w:t>
      </w:r>
    </w:p>
    <w:p>
      <w:pPr>
        <w:pStyle w:val="Heading2"/>
        <w:keepNext/>
      </w:pPr>
      <w:r>
        <w:t>Articolo 3 — Caparra e acconti: qualificazione</w:t>
      </w:r>
    </w:p>
    <w:p>
      <w:pPr>
        <w:jc w:val="left"/>
      </w:pPr>
      <w:r>
        <w:t>La somma di euro ______________ versata alla firma è corrisposta a titolo di: □ caparra confirmatoria ai sensi dell'articolo 1385 del codice civile  □ caparra penitenziale ai sensi dell'articolo 1386 del codice civile  □ acconto sul prezzo. Barrare una sola opzione ed eliminare le altre: gli effetti in caso di inadempimento e le imposte dovute sono diversi.</w:t>
      </w:r>
    </w:p>
    <w:p>
      <w:pPr>
        <w:jc w:val="both"/>
      </w:pPr>
      <w:r>
        <w:t>CAPARRA CONFIRMATORIA. Se il promissario acquirente è inadempiente il promittente venditore può recedere e trattenere la caparra; se è inadempiente il promittente venditore il promissario acquirente può recedere ed esigere il doppio della caparra. In alternativa al recesso la parte non inadempiente può domandare l'esecuzione o la risoluzione del contratto: in tal caso il risarcimento è dovuto secondo le regole generali e la caparra vale come anticipo sul danno. I due rimedi non sono cumulabili e la scelta è definitiva: chi recede e trattiene la caparra, o ne esige il doppio, non può domandare in aggiunta il risarcimento del maggior danno. Se il contratto è regolarmente adempiuto la caparra è imputata al prezzo.</w:t>
      </w:r>
    </w:p>
    <w:p>
      <w:pPr>
        <w:jc w:val="left"/>
      </w:pPr>
      <w:r>
        <w:t>CAPARRA PENITENZIALE. Questa opzione presuppone un diritto di recesso, che le parti si attribuiscono espressamente: ciascuna può recedere entro il ____ / ____ / ______ e la somma versata è il corrispettivo del recesso. Il promissario acquirente che recede la perde, il promittente venditore che recede ne restituisce il doppio; il recesso esclude ogni ulteriore pretesa risarcitoria. Si esercita con comunicazione scritta a mezzo raccomandata o PEC, e comunque non oltre il termine fissato all'articolo 9 per il definitivo; le somme versate a titolo diverso dalla caparra sono restituite. Eliminare l'intero capoverso se non si sceglie questa opzione.</w:t>
      </w:r>
    </w:p>
    <w:p>
      <w:pPr>
        <w:jc w:val="both"/>
      </w:pPr>
      <w:r>
        <w:t>ACCONTO SUL PREZZO. È un semplice anticipo, senza funzione di garanzia: se il contratto non si conclude va restituito, e in caso di inadempimento si applicano i rimedi ordinari di risoluzione e risarcimento.</w:t>
      </w:r>
    </w:p>
    <w:p>
      <w:pPr>
        <w:pStyle w:val="Heading2"/>
        <w:keepNext/>
      </w:pPr>
      <w:r>
        <w:t>Articolo 4 — Garanzie sul titolo e sullo stato giuridico</w:t>
      </w:r>
    </w:p>
    <w:p>
      <w:pPr>
        <w:jc w:val="left"/>
      </w:pPr>
      <w:r>
        <w:t>Il promittente venditore garantisce di essere titolare della piena proprietà dell'immobile e di poterne liberamente disporre, e che l'immobile è libero da ipoteche, pignoramenti, sequestri, trascrizioni e iscrizioni pregiudizievoli, diritti di terzi, servitù non apparenti, vincoli e oneri di qualsiasi natura, salvo quanto espressamente dichiarato: ______________________________.</w:t>
      </w:r>
    </w:p>
    <w:p>
      <w:pPr>
        <w:jc w:val="both"/>
      </w:pPr>
      <w:r>
        <w:t>Il promittente venditore si obbliga a estinguere a propria cura e spese, al più tardi contestualmente alla stipula del definitivo, il debito residuo garantito da ipoteca, e ad attivare senza indugio la cancellazione delle formalità pregiudizievoli esistenti.</w:t>
      </w:r>
    </w:p>
    <w:p>
      <w:pPr>
        <w:jc w:val="left"/>
      </w:pPr>
      <w:r>
        <w:t>L'immobile è consegnato libero da persone e cose e, salvo diversa indicazione, non è occupato ad alcun titolo: □ conferma  □ deroga: ____________________. Se l'immobile è locato per uso diverso dall'abitativo e destinato ad attività che comportano contatti diretti con il pubblico degli utenti e dei consumatori, al conduttore spetta la prelazione degli articoli 38 e 39 della legge 392/1978 e il promittente venditore si obbliga a eseguire la denuntiatio prima del definitivo. La prelazione non spetta nei casi che l'articolo 41, secondo comma, della stessa legge esclude richiamando l'articolo 35 (fra cui studi professionali e attività senza contatto diretto con il pubblico): □ la prelazione ricorre  □ non ricorre  □ l'immobile non è locato.</w:t>
      </w:r>
    </w:p>
    <w:p>
      <w:pPr>
        <w:jc w:val="both"/>
      </w:pPr>
      <w:r>
        <w:t>Il promittente venditore dichiara che l'immobile: □ non è sottoposto a vincolo ai sensi del D.Lgs. 42/2004  □ è sottoposto a vincolo, e le parti danno atto che l'alienazione richiede la denuncia e il decorso del termine per l'esercizio della prelazione da parte dello Stato.</w:t>
      </w:r>
    </w:p>
    <w:p>
      <w:pPr>
        <w:pStyle w:val="Heading2"/>
        <w:keepNext/>
      </w:pPr>
      <w:r>
        <w:t>Articolo 5 — Conformità urbanistica ed edilizia</w:t>
      </w:r>
    </w:p>
    <w:p>
      <w:pPr>
        <w:jc w:val="left"/>
      </w:pPr>
      <w:r>
        <w:t>Il promittente venditore dichiara che l'immobile è stato costruito in forza di ________________________ n. ______ del ____ / ____ / ______ e che sono stati successivamente eseguiti i seguenti titoli edilizi: ______________________________.</w:t>
      </w:r>
    </w:p>
    <w:p>
      <w:pPr>
        <w:jc w:val="both"/>
      </w:pPr>
      <w:r>
        <w:t>Il promittente venditore garantisce l'assenza di difformità rispetto ai titoli richiamati e si obbliga a sanare a propria cura e spese, prima del definitivo, ogni difformità che dovesse emergere. Le parti danno atto che le dichiarazioni urbanistiche sono richieste a pena di nullità nell'atto definitivo.</w:t>
      </w:r>
    </w:p>
    <w:p>
      <w:pPr>
        <w:pStyle w:val="Heading2"/>
        <w:keepNext/>
      </w:pPr>
      <w:r>
        <w:t>Articolo 6 — Conformità catastale</w:t>
      </w:r>
    </w:p>
    <w:p>
      <w:pPr>
        <w:jc w:val="both"/>
      </w:pPr>
      <w:r>
        <w:t>Il promittente venditore dichiara che i dati catastali e la planimetria depositata in Catasto corrispondono allo stato di fatto dell'immobile e si obbliga, in caso contrario, a provvedere all'aggiornamento a propria cura e spese prima della stipula del definitivo.</w:t>
      </w:r>
    </w:p>
    <w:p>
      <w:pPr>
        <w:pStyle w:val="Heading2"/>
        <w:keepNext/>
      </w:pPr>
      <w:r>
        <w:t>Articolo 7 — Prestazione energetica, agibilità e impianti</w:t>
      </w:r>
    </w:p>
    <w:p>
      <w:pPr>
        <w:jc w:val="left"/>
      </w:pPr>
      <w:r>
        <w:t>Il promittente venditore dichiara di aver consegnato al promissario acquirente l'attestato di prestazione energetica in corso di validità, classe ______, codice identificativo ____________________, che si allega: l'articolo 6 del D.Lgs. 192/2005 impone di renderlo disponibile all'avvio delle trattative e di consegnarlo al loro termine.</w:t>
      </w:r>
    </w:p>
    <w:p>
      <w:pPr>
        <w:jc w:val="left"/>
      </w:pPr>
      <w:r>
        <w:t>Quanto all'agibilità il promittente venditore dichiara: □ che è stata presentata la segnalazione certificata di agibilità, ovvero rilasciato il provvedimento, n. ______ del ____ / ____ / ______  □ che l'agibilità non risulta, e il promissario acquirente ne prende atto.</w:t>
      </w:r>
    </w:p>
    <w:p>
      <w:pPr>
        <w:jc w:val="both"/>
      </w:pPr>
      <w:r>
        <w:t>Il promittente venditore dichiara che gli impianti sono: □ conformi, con dichiarazione di conformità che sarà consegnata al definitivo  □ non conformi o privi di dichiarazione, e il promissario acquirente ne prende atto e accetta.</w:t>
      </w:r>
    </w:p>
    <w:p>
      <w:pPr>
        <w:pStyle w:val="Heading2"/>
        <w:keepNext/>
      </w:pPr>
      <w:r>
        <w:t>Articolo 8 — Situazione condominiale</w:t>
      </w:r>
    </w:p>
    <w:p>
      <w:pPr>
        <w:jc w:val="both"/>
      </w:pPr>
      <w:r>
        <w:t>Il promittente venditore dichiara di essere in regola con il pagamento degli oneri condominiali e si obbliga a consegnare, prima del definitivo, la dichiarazione dell'amministratore attestante l'assenza di morosità.</w:t>
      </w:r>
    </w:p>
    <w:p>
      <w:pPr>
        <w:jc w:val="both"/>
      </w:pPr>
      <w:r>
        <w:t>Le spese per lavori straordinari già deliberati dall'assemblea alla data del presente contratto restano a carico di: □ il promittente venditore  □ il promissario acquirente.</w:t>
      </w:r>
    </w:p>
    <w:p>
      <w:pPr>
        <w:pStyle w:val="Heading2"/>
        <w:keepNext/>
      </w:pPr>
      <w:r>
        <w:t>Articolo 9 — Termine e stipula del definitivo</w:t>
      </w:r>
    </w:p>
    <w:p>
      <w:pPr>
        <w:jc w:val="left"/>
      </w:pPr>
      <w:r>
        <w:t>Il contratto definitivo sarà stipulato entro il ____ / ____ / ______ davanti al notaio ____________________, scelto da: □ il promissario acquirente  □ il promittente venditore  □ entrambi di comune accordo.</w:t>
      </w:r>
    </w:p>
    <w:p>
      <w:pPr>
        <w:jc w:val="both"/>
      </w:pPr>
      <w:r>
        <w:t>Il termine è essenziale nell'interesse di: □ nessuna delle parti  □ il promittente venditore  □ il promissario acquirente. Le spese notarili e le imposte dell'atto definitivo sono a carico del promissario acquirente, salvo quanto per legge grava sul venditore.</w:t>
      </w:r>
    </w:p>
    <w:p>
      <w:pPr>
        <w:pStyle w:val="Heading2"/>
        <w:keepNext/>
      </w:pPr>
      <w:r>
        <w:t>Articolo 10 — Consegna dell'immobile</w:t>
      </w:r>
    </w:p>
    <w:p>
      <w:pPr>
        <w:jc w:val="left"/>
      </w:pPr>
      <w:r>
        <w:t>L'immobile è consegnato: □ alla stipula del definitivo  □ in data ____ / ____ / ______, anteriore al definitivo. Nella seconda ipotesi le parti regolano per iscritto il titolo della detenzione anticipata, le utenze e l'assunzione dei rischi.</w:t>
      </w:r>
    </w:p>
    <w:p>
      <w:pPr>
        <w:pStyle w:val="Heading2"/>
        <w:keepNext/>
      </w:pPr>
      <w:r>
        <w:t>Articolo 11 — Trascrizione del preliminare (clausola opzionale)</w:t>
      </w:r>
    </w:p>
    <w:p>
      <w:pPr>
        <w:jc w:val="left"/>
      </w:pPr>
      <w:r>
        <w:t>□ Le parti convengono di trascrivere il presente contratto ai sensi dell'articolo 2645-bis del codice civile, a tutela del promissario acquirente. A tal fine il contratto dovrà essere stipulato per atto pubblico o per scrittura privata autenticata, con spese a carico di ____________________.</w:t>
      </w:r>
    </w:p>
    <w:p>
      <w:pPr>
        <w:jc w:val="both"/>
      </w:pPr>
      <w:r>
        <w:t>Le parti danno atto che senza autentica o atto pubblico la trascrizione non è possibile e il promissario acquirente resta esposto alle formalità pregiudizievoli trascritte o iscritte prima del definitivo. Danno inoltre atto che gli effetti della trascrizione cessano, e si considerano come mai prodotti, se entro un anno dalla data convenuta per il definitivo e comunque entro tre anni dalla trascrizione non viene trascritto il contratto definitivo, altro atto che ne costituisca comunque esecuzione, o la domanda giudiziale: il termine dell'articolo 9 va fissato tenendone conto. Eliminare la clausola se non voluta.</w:t>
      </w:r>
    </w:p>
    <w:p>
      <w:pPr>
        <w:pStyle w:val="Heading2"/>
        <w:keepNext/>
      </w:pPr>
      <w:r>
        <w:t>Articolo 12 — Inadempimento</w:t>
      </w:r>
    </w:p>
    <w:p>
      <w:pPr>
        <w:jc w:val="both"/>
      </w:pPr>
      <w:r>
        <w:t>Salvo l'esercizio del recesso eventualmente previsto all'articolo 3, in caso di inadempimento resta salva la facoltà della parte non inadempiente di domandare l'esecuzione in forma specifica dell'obbligo di concludere il contratto, ai sensi dell'articolo 2932 del codice civile, in alternativa alla risoluzione e al risarcimento del danno.</w:t>
      </w:r>
    </w:p>
    <w:p>
      <w:pPr>
        <w:jc w:val="both"/>
      </w:pPr>
      <w:r>
        <w:t>Le parti danno atto che quel rimedio opera solo se l'esecuzione è possibile e non è esclusa dal titolo, e che chi lo domanda deve eseguire o offrire la propria prestazione, salvo che questa non sia ancora esigibile: non è quindi esperibile, fra l'altro, se il promittente venditore non è proprietario o se l'immobile è colpito da nullità urbanistica.</w:t>
      </w:r>
    </w:p>
    <w:p>
      <w:pPr>
        <w:pStyle w:val="Heading2"/>
        <w:keepNext/>
      </w:pPr>
      <w:r>
        <w:t>Articolo 13 — Registrazione e imposte</w:t>
      </w:r>
    </w:p>
    <w:p>
      <w:pPr>
        <w:jc w:val="both"/>
      </w:pPr>
      <w:r>
        <w:t>Il presente contratto è soggetto a registrazione entro trenta giorni dalla sottoscrizione, da eseguirsi con il modello RAP. Sono dovute l'imposta di registro in misura fissa di 200 euro e l'imposta di bollo di 16 euro ogni quattro facciate scritte e comunque ogni cento righe.</w:t>
      </w:r>
    </w:p>
    <w:p>
      <w:pPr>
        <w:jc w:val="both"/>
      </w:pPr>
      <w:r>
        <w:t>Sulle somme versate a titolo di caparra confirmatoria e di acconto di prezzo non soggetto a IVA si applica inoltre l'aliquota dello 0,50%, o la minore imposta applicabile per il contratto definitivo; sulla caparra penitenziale l'aliquota del 3% — che secondo la giurisprudenza è però dovuta solo se il recesso viene effettivamente esercitato. L'imposta proporzionale assolta su caparra confirmatoria e acconti è imputata all'imposta dovuta per l'atto definitivo.</w:t>
      </w:r>
    </w:p>
    <w:p>
      <w:pPr>
        <w:jc w:val="both"/>
      </w:pPr>
      <w:r>
        <w:t>Le spese di registrazione sono a carico di: □ il promissario acquirente  □ il promittente venditore  □ entrambi in parti uguali. Resta ferma la solidarietà delle parti verso l'Amministrazione finanziaria ai sensi dell'articolo 57 del DPR 131/1986: la ripartizione vale solo fra le parti.</w:t>
      </w:r>
    </w:p>
    <w:p>
      <w:pPr>
        <w:jc w:val="both"/>
      </w:pPr>
      <w:r>
        <w:t>Se il contratto è concluso con l'intervento di un mediatore immobiliare, questi è tenuto a richiederne la registrazione ed è responsabile in solido con le parti per il pagamento dell'imposta.</w:t>
      </w:r>
    </w:p>
    <w:p>
      <w:pPr>
        <w:pStyle w:val="Heading2"/>
        <w:keepNext/>
      </w:pPr>
      <w:r>
        <w:t>Articolo 14 — Allegati, dati personali e rinvio</w:t>
      </w:r>
    </w:p>
    <w:p>
      <w:pPr>
        <w:jc w:val="left"/>
      </w:pPr>
      <w:r>
        <w:t>Formano parte integrante del presente contratto gli allegati materialmente uniti e qui elencati: ____________________________________________. Il contratto è sottoscritto in ______ originali, uno per ciascuna parte e uno per la registrazione, a ____________________ il ____ / ____ / ______.</w:t>
      </w:r>
    </w:p>
    <w:p>
      <w:pPr>
        <w:jc w:val="both"/>
      </w:pPr>
      <w:r>
        <w:t>Le parti danno atto che i dati personali contenuti nel presente contratto sono trattati per l'esecuzione del contratto e per gli adempimenti di legge, ai sensi dell'articolo 6, paragrafo 1, lettere b) e c), del Regolamento (UE) 2016/679, e per le sole finalità a ciò connesse.</w:t>
      </w:r>
    </w:p>
    <w:p>
      <w:pPr>
        <w:jc w:val="both"/>
      </w:pPr>
      <w:r>
        <w:t>Per quanto non espressamente previsto le parti rinviano alle norme del codice civile in materia di contratto preliminare e di compravendita.</w:t>
      </w:r>
    </w:p>
    <w:p>
      <w:pPr>
        <w:pStyle w:val="Heading1"/>
      </w:pPr>
      <w:r>
        <w:t>3. Clausole aggiuntive concordate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FFF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r>
          </w:p>
        </w:tc>
      </w:tr>
    </w:tbl>
    <w:p>
      <w:pPr>
        <w:pStyle w:val="Heading1"/>
      </w:pPr>
      <w:r>
        <w:t>4. Sottoscrizione</w:t>
      </w:r>
    </w:p>
    <w:tbl>
      <w:tblPr>
        <w:tblW w:type="dxa" w:w="9026"/>
        <w:jc w:val="left"/>
        <w:tblLayout w:type="fixed"/>
        <w:tblLook w:firstColumn="1" w:firstRow="1" w:lastColumn="0" w:lastRow="0" w:noHBand="0" w:noVBand="1" w:val="04A0"/>
        <w:tblInd w:type="dxa" w:w="120"/>
      </w:tblPr>
      <w:tblGrid>
        <w:gridCol w:w="4513"/>
        <w:gridCol w:w="4513"/>
      </w:tblGrid>
      <w:tr>
        <w:trPr>
          <w:cantSplit/>
        </w:trPr>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r>
      <w:tr>
        <w:trPr>
          <w:cantSplit/>
        </w:trPr>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promittente venditore</w:t>
              <w:br/>
              <w:t>____________________________</w:t>
            </w:r>
          </w:p>
        </w:tc>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promissario acquirente</w:t>
              <w:br/>
              <w:t>____________________________</w:t>
            </w:r>
          </w:p>
        </w:tc>
      </w:tr>
    </w:tbl>
    <w:p>
      <w:pPr>
        <w:spacing w:before="0" w:after="0"/>
      </w:pPr>
      <w:r>
        <w:br w:type="page"/>
      </w:r>
    </w:p>
    <w:p>
      <w:pPr>
        <w:pStyle w:val="Heading1"/>
      </w:pPr>
      <w:r>
        <w:t>Appendice - Verifiche e allegati (elenco di lavoro, non fa parte del contratto)</w:t>
      </w:r>
    </w:p>
    <w:tbl>
      <w:tblPr>
        <w:tblW w:type="dxa" w:w="9026"/>
        <w:jc w:val="left"/>
        <w:tblLayout w:type="fixed"/>
        <w:tblLook w:firstColumn="1" w:firstRow="1" w:lastColumn="0" w:lastRow="0" w:noHBand="0" w:noVBand="1" w:val="04A0"/>
        <w:tblInd w:type="dxa" w:w="120"/>
      </w:tblPr>
      <w:tblGrid>
        <w:gridCol w:w="820"/>
        <w:gridCol w:w="2989"/>
        <w:gridCol w:w="5217"/>
      </w:tblGrid>
      <w:tr>
        <w:trPr>
          <w:cantSplit/>
          <w:tblHeader w:val="true"/>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Stato</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Voce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Controllo / note</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Visura catastale e planimetria aggiornate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Visura ipotecaria aggiornata alla data della firma</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Atto di provenienza e, se successione, dichiarazione e accettazione dell'eredità</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Titoli edilizi ed eventuali pratiche di sanatoria</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Attestato di prestazione energetica in corso di validità</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Dichiarazione dell'amministratore su spese e lavori deliberati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Consenso di tutti i comproprietari o del coniuge in comunione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Documenti di identità e codici fiscali delle parti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bl>
    <w:p>
      <w:pPr>
        <w:pStyle w:val="Heading1"/>
      </w:pPr>
      <w:r>
        <w:t>Controllo finale</w:t>
      </w:r>
    </w:p>
    <w:p>
      <w:pPr>
        <w:numPr>
          <w:ilvl w:val="0"/>
          <w:numId w:val="11"/>
        </w:numPr>
        <w:spacing w:after="80" w:line="300" w:lineRule="auto"/>
      </w:pPr>
      <w:r>
        <w:rPr>
          <w:rFonts w:ascii="Calibri" w:hAnsi="Calibri"/>
          <w:color w:val="20262E"/>
          <w:sz w:val="22"/>
        </w:rPr>
        <w:t>Tutti i titolari di diritti sull'immobile compaiono come promittenti venditori e hanno sottoscritto.</w:t>
      </w:r>
    </w:p>
    <w:p>
      <w:pPr>
        <w:numPr>
          <w:ilvl w:val="0"/>
          <w:numId w:val="11"/>
        </w:numPr>
        <w:spacing w:after="80" w:line="300" w:lineRule="auto"/>
      </w:pPr>
      <w:r>
        <w:rPr>
          <w:rFonts w:ascii="Calibri" w:hAnsi="Calibri"/>
          <w:color w:val="20262E"/>
          <w:sz w:val="22"/>
        </w:rPr>
        <w:t>La somma versata alla firma è qualificata in un solo modo: caparra confirmatoria, caparra penitenziale o acconto.</w:t>
      </w:r>
    </w:p>
    <w:p>
      <w:pPr>
        <w:numPr>
          <w:ilvl w:val="0"/>
          <w:numId w:val="11"/>
        </w:numPr>
        <w:spacing w:after="80" w:line="300" w:lineRule="auto"/>
      </w:pPr>
      <w:r>
        <w:rPr>
          <w:rFonts w:ascii="Calibri" w:hAnsi="Calibri"/>
          <w:color w:val="20262E"/>
          <w:sz w:val="22"/>
        </w:rPr>
        <w:t>Prezzo, rate e caparra sono scritti in cifre e lettere e coincidono tra loro.</w:t>
      </w:r>
    </w:p>
    <w:p>
      <w:pPr>
        <w:numPr>
          <w:ilvl w:val="0"/>
          <w:numId w:val="11"/>
        </w:numPr>
        <w:spacing w:after="80" w:line="300" w:lineRule="auto"/>
      </w:pPr>
      <w:r>
        <w:rPr>
          <w:rFonts w:ascii="Calibri" w:hAnsi="Calibri"/>
          <w:color w:val="20262E"/>
          <w:sz w:val="22"/>
        </w:rPr>
        <w:t>Le verifiche ipotecarie, urbanistiche e catastali sono state eseguite prima della firma, non dopo.</w:t>
      </w:r>
    </w:p>
    <w:p>
      <w:pPr>
        <w:numPr>
          <w:ilvl w:val="0"/>
          <w:numId w:val="11"/>
        </w:numPr>
        <w:spacing w:after="80" w:line="300" w:lineRule="auto"/>
      </w:pPr>
      <w:r>
        <w:rPr>
          <w:rFonts w:ascii="Calibri" w:hAnsi="Calibri"/>
          <w:color w:val="20262E"/>
          <w:sz w:val="22"/>
        </w:rPr>
        <w:t>Il testo è stato sottoposto al notaio che curerà il rogito e la registrazione è programmata entro 30 giorni.</w:t>
      </w:r>
    </w:p>
    <w:p>
      <w:pPr>
        <w:pStyle w:val="Heading1"/>
      </w:pPr>
      <w:r>
        <w:t>Fonti, limiti e prossimo passo</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LIMITI D'USO. </w:t>
            </w:r>
            <w:r>
              <w:rPr>
                <w:rFonts w:ascii="Calibri" w:hAnsi="Calibri"/>
                <w:color w:val="20262E"/>
                <w:sz w:val="21"/>
              </w:rPr>
              <w:t>Fac-simile editoriale da completare, adattare al caso concreto e sottoscrivere. Non è un modello ministeriale, non è consulenza legale e non certifica alcunché. Prima di far firmare il testo elimina la pagina di istruzioni iniziale, le sezioni il cui titolo dice «elenco di lavoro», il Controllo finale e questa pagina. Conserva tutto il resto, allegati compresi: la scheda 1 e le sezioni numerate fanno parte del contratto.</w:t>
            </w:r>
          </w:p>
        </w:tc>
      </w:tr>
    </w:tbl>
    <w:p>
      <w:pPr>
        <w:pStyle w:val="Heading2"/>
      </w:pPr>
      <w:r>
        <w:t>Fonti</w:t>
      </w:r>
    </w:p>
    <w:p>
      <w:pPr>
        <w:pStyle w:val="CFSource"/>
      </w:pPr>
      <w:hyperlink r:id="rId13">
        <w:r>
          <w:rPr>
            <w:rStyle w:val="Hyperlink"/>
            <w:color w:val="542CF2"/>
            <w:u w:val="single"/>
            <w:rFonts w:ascii="Calibri" w:hAnsi="Calibri"/>
            <w:sz w:val="17"/>
            <w:szCs w:val="17"/>
          </w:rPr>
          <w:t>Codice civile, articolo 1351 - contratto preliminare</w:t>
        </w:r>
      </w:hyperlink>
    </w:p>
    <w:p>
      <w:pPr>
        <w:pStyle w:val="CFSource"/>
      </w:pPr>
      <w:hyperlink r:id="rId14">
        <w:r>
          <w:rPr>
            <w:rStyle w:val="Hyperlink"/>
            <w:color w:val="542CF2"/>
            <w:u w:val="single"/>
            <w:rFonts w:ascii="Calibri" w:hAnsi="Calibri"/>
            <w:sz w:val="17"/>
            <w:szCs w:val="17"/>
          </w:rPr>
          <w:t>Agenzia delle Entrate - Contratto preliminare, modello RAP</w:t>
        </w:r>
      </w:hyperlink>
    </w:p>
    <w:p>
      <w:pPr>
        <w:pStyle w:val="CFSource"/>
      </w:pPr>
      <w:hyperlink r:id="rId15">
        <w:r>
          <w:rPr>
            <w:rStyle w:val="Hyperlink"/>
            <w:color w:val="542CF2"/>
            <w:u w:val="single"/>
            <w:rFonts w:ascii="Calibri" w:hAnsi="Calibri"/>
            <w:sz w:val="17"/>
            <w:szCs w:val="17"/>
          </w:rPr>
          <w:t>DPR 380/2001, articolo 46 - menzioni urbanistiche a pena di nullità</w:t>
        </w:r>
      </w:hyperlink>
    </w:p>
    <w:p>
      <w:pPr>
        <w:pStyle w:val="CFSource"/>
      </w:pPr>
      <w:hyperlink r:id="rId16">
        <w:r>
          <w:rPr>
            <w:rStyle w:val="Hyperlink"/>
            <w:color w:val="542CF2"/>
            <w:u w:val="single"/>
            <w:rFonts w:ascii="Calibri" w:hAnsi="Calibri"/>
            <w:sz w:val="17"/>
            <w:szCs w:val="17"/>
          </w:rPr>
          <w:t>D.Lgs. 122/2005 - tutela degli acquirenti di immobili da costruire</w:t>
        </w:r>
      </w:hyperlink>
    </w:p>
    <w:p>
      <w:pPr>
        <w:pStyle w:val="CFSource"/>
      </w:pPr>
      <w:hyperlink r:id="rId17">
        <w:r>
          <w:rPr>
            <w:rStyle w:val="Hyperlink"/>
            <w:color w:val="542CF2"/>
            <w:u w:val="single"/>
            <w:rFonts w:ascii="Calibri" w:hAnsi="Calibri"/>
            <w:sz w:val="17"/>
            <w:szCs w:val="17"/>
          </w:rPr>
          <w:t>D.Lgs. 192/2005, articolo 6 - APE</w:t>
        </w:r>
      </w:hyperlink>
    </w:p>
    <w:p>
      <w:pPr>
        <w:pStyle w:val="CFSource"/>
      </w:pPr>
      <w:hyperlink r:id="rId18">
        <w:r>
          <w:rPr>
            <w:rStyle w:val="Hyperlink"/>
            <w:color w:val="542CF2"/>
            <w:u w:val="single"/>
            <w:rFonts w:ascii="Calibri" w:hAnsi="Calibri"/>
            <w:sz w:val="17"/>
            <w:szCs w:val="17"/>
          </w:rPr>
          <w:t>Consiglio Nazionale del Notariato - Garanzia preliminare</w:t>
        </w:r>
      </w:hyperlink>
    </w:p>
    <w:p>
      <w:pPr>
        <w:pStyle w:val="Heading2"/>
      </w:pPr>
      <w:r>
        <w:t>Continua solo se ti serve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EEE9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241449"/>
                <w:sz w:val="22"/>
              </w:rPr>
              <w:t xml:space="preserve">Scopri i servizi immobiliari online: </w:t>
            </w:r>
            <w:hyperlink r:id="rId19">
              <w:r>
                <w:rPr>
                  <w:rStyle w:val="Hyperlink"/>
                  <w:color w:val="542CF2"/>
                  <w:u w:val="single"/>
                  <w:rFonts w:ascii="Calibri" w:hAnsi="Calibri"/>
                  <w:sz w:val="20"/>
                  <w:szCs w:val="20"/>
                  <w:b/>
                </w:rPr>
                <w:t>https://crm.saggest.com/authentication/login?rel_id=1938</w:t>
              </w:r>
            </w:hyperlink>
          </w:p>
          <w:p>
            <w:pPr>
              <w:pStyle w:val="CFSmallNote"/>
            </w:pPr>
            <w:r>
              <w:rPr>
                <w:rFonts w:ascii="Calibri" w:hAnsi="Calibri"/>
                <w:color w:val="5F6B7A"/>
                <w:sz w:val="17"/>
              </w:rPr>
              <w:t>Se acquisti un servizio dopo esserti registrato da questo link, ConcordatoFacile riceve una commissione. Per te il prezzo non cambia.</w:t>
            </w:r>
          </w:p>
        </w:tc>
      </w:tr>
    </w:tbl>
    <w:sectPr w:rsidR="00FC693F" w:rsidRPr="0006063C" w:rsidSect="00034616">
      <w:headerReference w:type="even" r:id="rId9"/>
      <w:footerReference w:type="even" r:id="rId10"/>
      <w:headerReference w:type="default" r:id="rId11"/>
      <w:footerReference w:type="default" r:id="rId1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 xml:space="preserve">Pagina </w:t>
    </w:r>
    <w:r>
      <w:rPr>
        <w:rFonts w:ascii="Calibri" w:hAnsi="Calibri"/>
        <w:color w:val="5F6B7A"/>
        <w:sz w:val="17"/>
      </w:rPr>
      <w:fldChar w:fldCharType="begin"/>
      <w:instrText xml:space="preserve"> PAGE </w:instrText>
      <w:fldChar w:fldCharType="separate"/>
      <w:t>1</w:t>
      <w:fldChar w:fldCharType="end"/>
    </w:r>
    <w:r>
      <w:rPr>
        <w:rFonts w:ascii="Calibri" w:hAnsi="Calibri"/>
        <w:color w:val="5F6B7A"/>
        <w:sz w:val="17"/>
      </w:rPr>
      <w:tab/>
      <w:t>Fac-simile editoriale | Far verificare dal notaio</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Fac-simile editoriale | Far verificare dal notaio</w:t>
    </w:r>
    <w:r>
      <w:rPr>
        <w:rFonts w:ascii="Calibri" w:hAnsi="Calibri"/>
        <w:color w:val="5F6B7A"/>
        <w:sz w:val="17"/>
      </w:rPr>
      <w:tab/>
      <w:t xml:space="preserve">Pagina </w:t>
    </w:r>
    <w:r>
      <w:rPr>
        <w:rFonts w:ascii="Calibri" w:hAnsi="Calibri"/>
        <w:color w:val="5F6B7A"/>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color w:val="5F6B7A"/>
        <w:sz w:val="17"/>
      </w:rPr>
      <w:t>Preliminare di compravendita</w:t>
    </w:r>
    <w:r>
      <w:rPr>
        <w:rFonts w:ascii="Calibri" w:hAnsi="Calibri"/>
        <w:b/>
        <w:color w:val="5F6B7A"/>
        <w:sz w:val="17"/>
      </w:rPr>
      <w:tab/>
      <w:t>ConcordatoFacile | Risorsa gratuita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b/>
        <w:color w:val="5F6B7A"/>
        <w:sz w:val="17"/>
      </w:rPr>
      <w:t>ConcordatoFacile | Risorsa gratuita</w:t>
    </w:r>
    <w:r>
      <w:rPr>
        <w:rFonts w:ascii="Calibri" w:hAnsi="Calibri"/>
        <w:color w:val="5F6B7A"/>
        <w:sz w:val="17"/>
      </w:rPr>
      <w:tab/>
      <w:t>Preliminare di compravendita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spacing w:after="80" w:line="300" w:lineRule="auto"/>
      </w:pPr>
    </w:lvl>
  </w:abstractNum>
  <w:num w:numId="10">
    <w:abstractNumId w:val="9"/>
  </w:num>
  <w:abstractNum w:abstractNumId="10">
    <w:multiLevelType w:val="singleLevel"/>
    <w:lvl w:ilvl="0">
      <w:start w:val="1"/>
      <w:numFmt w:val="bullet"/>
      <w:lvlText w:val="•"/>
      <w:lvlJc w:val="left"/>
      <w:pPr>
        <w:tabs>
          <w:tab w:val="num" w:pos="540"/>
        </w:tabs>
        <w:ind w:left="540" w:hanging="270"/>
        <w:spacing w:after="80" w:line="30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Calibri" w:hAnsi="Calibri"/>
      <w:b w:val="0"/>
      <w:i w:val="0"/>
      <w:color w:val="2026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i w:val="0"/>
      <w:color w:val="542CF2"/>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i w:val="0"/>
      <w:color w:val="542CF2"/>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i w:val="0"/>
      <w:color w:val="2A157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libri" w:hAnsi="Calibri"/>
      <w:b/>
      <w:i w:val="0"/>
      <w:color w:val="24144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pPr>
    <w:rPr>
      <w:rFonts w:asciiTheme="majorHAnsi" w:eastAsiaTheme="majorEastAsia" w:hAnsiTheme="majorHAnsi" w:cstheme="majorBidi" w:ascii="Calibri" w:hAnsi="Calibri"/>
      <w:b w:val="0"/>
      <w:i w:val="0"/>
      <w:iCs/>
      <w:color w:val="5F6B7A"/>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FKicker">
    <w:name w:val="CF Kicker"/>
    <w:basedOn w:val="Normal"/>
    <w:pPr>
      <w:keepNext/>
      <w:spacing w:before="0" w:after="40" w:line="240" w:lineRule="auto"/>
    </w:pPr>
    <w:rPr>
      <w:rFonts w:ascii="Calibri" w:hAnsi="Calibri"/>
      <w:b/>
      <w:i w:val="0"/>
      <w:color w:val="7A5A00"/>
      <w:sz w:val="19"/>
    </w:rPr>
  </w:style>
  <w:style w:type="paragraph" w:customStyle="1" w:styleId="CFTableText">
    <w:name w:val="CF Table Text"/>
    <w:basedOn w:val="Normal"/>
    <w:pPr>
      <w:keepNext w:val="0"/>
      <w:spacing w:before="0" w:after="20" w:line="259" w:lineRule="auto"/>
    </w:pPr>
    <w:rPr>
      <w:rFonts w:ascii="Calibri" w:hAnsi="Calibri"/>
      <w:b w:val="0"/>
      <w:i w:val="0"/>
      <w:color w:val="20262E"/>
      <w:sz w:val="18"/>
    </w:rPr>
  </w:style>
  <w:style w:type="paragraph" w:customStyle="1" w:styleId="CFTableHeader">
    <w:name w:val="CF Table Header"/>
    <w:basedOn w:val="Normal"/>
    <w:pPr>
      <w:keepNext w:val="0"/>
      <w:spacing w:before="0" w:after="0" w:line="240" w:lineRule="auto"/>
    </w:pPr>
    <w:rPr>
      <w:rFonts w:ascii="Calibri" w:hAnsi="Calibri"/>
      <w:b/>
      <w:i w:val="0"/>
      <w:color w:val="241449"/>
      <w:sz w:val="18"/>
    </w:rPr>
  </w:style>
  <w:style w:type="paragraph" w:customStyle="1" w:styleId="CFSmallNote">
    <w:name w:val="CF Small Note"/>
    <w:basedOn w:val="Normal"/>
    <w:pPr>
      <w:keepNext w:val="0"/>
      <w:spacing w:before="0" w:after="60" w:line="264" w:lineRule="auto"/>
    </w:pPr>
    <w:rPr>
      <w:rFonts w:ascii="Calibri" w:hAnsi="Calibri"/>
      <w:b w:val="0"/>
      <w:i w:val="0"/>
      <w:color w:val="5F6B7A"/>
      <w:sz w:val="17"/>
    </w:rPr>
  </w:style>
  <w:style w:type="paragraph" w:customStyle="1" w:styleId="CFSource">
    <w:name w:val="CF Source"/>
    <w:basedOn w:val="Normal"/>
    <w:pPr>
      <w:keepNext w:val="0"/>
      <w:spacing w:before="80" w:after="80" w:line="264" w:lineRule="auto"/>
    </w:pPr>
    <w:rPr>
      <w:rFonts w:ascii="Calibri" w:hAnsi="Calibri"/>
      <w:b w:val="0"/>
      <w:i w:val="0"/>
      <w:color w:val="5F6B7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normattiva.it/uri-res/N2Ls?urn:nir:stato:regio.decreto:1942-03-16;262~art1351" TargetMode="External"/><Relationship Id="rId14" Type="http://schemas.openxmlformats.org/officeDocument/2006/relationships/hyperlink" Target="https://www.agenziaentrate.gov.it/portale/contratto-preliminare-di-compravendita/infogen-contratto-preliminare-di-compravendita-cittadini" TargetMode="External"/><Relationship Id="rId15" Type="http://schemas.openxmlformats.org/officeDocument/2006/relationships/hyperlink" Target="https://www.normattiva.it/uri-res/N2Ls?urn:nir:stato:decreto.presidente.repubblica:2001-06-06;380~art46" TargetMode="External"/><Relationship Id="rId16" Type="http://schemas.openxmlformats.org/officeDocument/2006/relationships/hyperlink" Target="https://www.normattiva.it/uri-res/N2Ls?urn:nir:stato:decreto.legislativo:2005-06-20;122" TargetMode="External"/><Relationship Id="rId17" Type="http://schemas.openxmlformats.org/officeDocument/2006/relationships/hyperlink" Target="https://www.normattiva.it/uri-res/N2Ls?urn:nir:stato:decreto.legislativo:2005-08-19;192~art6" TargetMode="External"/><Relationship Id="rId18" Type="http://schemas.openxmlformats.org/officeDocument/2006/relationships/hyperlink" Target="https://www.notariato.it/it/guida/garanzia-preliminare/" TargetMode="External"/><Relationship Id="rId19" Type="http://schemas.openxmlformats.org/officeDocument/2006/relationships/hyperlink" Target="https://crm.saggest.com/authentication/login?rel_id=1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preliminare di compravendita</dc:title>
  <dc:subject>Fac-simile editoriale di contratto preliminare di compravendita immobiliare, da completare con le verifiche e da sottoporre al notaio.</dc:subject>
  <dc:creator>python-docx</dc:creator>
  <cp:keywords>contratto preliminare compravendita, compromesso, fac-simile, modello RAP</cp:keywords>
  <dc:description>generated by python-docx</dc:description>
  <cp:lastModifiedBy>ConcordatoFacile</cp:lastModifiedBy>
  <cp:revision>1</cp:revision>
  <dcterms:created xsi:type="dcterms:W3CDTF">2013-12-23T23:15:00Z</dcterms:created>
  <dcterms:modified xsi:type="dcterms:W3CDTF">2013-12-23T23:15:00Z</dcterms:modified>
  <cp:category/>
</cp:coreProperties>
</file>